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right"/>
        <w:rPr>
          <w:rFonts w:ascii="Avenir Book" w:cs="Avenir Book" w:hAnsi="Avenir Book" w:eastAsia="Avenir Book"/>
          <w14:textOutline w14:w="12700" w14:cap="flat">
            <w14:noFill/>
            <w14:miter w14:lim="400000"/>
          </w14:textOutline>
        </w:rPr>
      </w:pPr>
      <w:r>
        <w:rPr>
          <w:rFonts w:ascii="Avenir Book" w:hAnsi="Avenir Book"/>
          <w:rtl w:val="0"/>
          <w:lang w:val="it-IT"/>
          <w14:textOutline w14:w="12700" w14:cap="flat">
            <w14:noFill/>
            <w14:miter w14:lim="400000"/>
          </w14:textOutline>
        </w:rPr>
        <w:t>Udine, 20 giugno 2020</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center"/>
        <w:rPr>
          <w:rFonts w:ascii="Avenir Heavy" w:cs="Avenir Heavy" w:hAnsi="Avenir Heavy" w:eastAsia="Avenir Heavy"/>
          <w:sz w:val="28"/>
          <w:szCs w:val="28"/>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center"/>
        <w:rPr>
          <w:rFonts w:ascii="Avenir Heavy" w:cs="Avenir Heavy" w:hAnsi="Avenir Heavy" w:eastAsia="Avenir Heavy"/>
          <w:sz w:val="28"/>
          <w:szCs w:val="28"/>
          <w14:textOutline w14:w="12700" w14:cap="flat">
            <w14:noFill/>
            <w14:miter w14:lim="400000"/>
          </w14:textOutline>
        </w:rPr>
      </w:pPr>
      <w:r>
        <w:rPr>
          <w:rFonts w:ascii="Avenir Heavy" w:hAnsi="Avenir Heavy"/>
          <w:sz w:val="28"/>
          <w:szCs w:val="28"/>
          <w:rtl w:val="0"/>
          <w:lang w:val="it-IT"/>
          <w14:textOutline w14:w="12700" w14:cap="flat">
            <w14:noFill/>
            <w14:miter w14:lim="400000"/>
          </w14:textOutline>
        </w:rPr>
        <w:t>TEDESCHI E AUSTRIACI ALL</w:t>
      </w:r>
      <w:r>
        <w:rPr>
          <w:rFonts w:ascii="Avenir Heavy" w:hAnsi="Avenir Heavy" w:hint="default"/>
          <w:sz w:val="28"/>
          <w:szCs w:val="28"/>
          <w:rtl w:val="0"/>
          <w:lang w:val="it-IT"/>
          <w14:textOutline w14:w="12700" w14:cap="flat">
            <w14:noFill/>
            <w14:miter w14:lim="400000"/>
          </w14:textOutline>
        </w:rPr>
        <w:t>’</w:t>
      </w:r>
      <w:r>
        <w:rPr>
          <w:rFonts w:ascii="Avenir Heavy" w:hAnsi="Avenir Heavy"/>
          <w:sz w:val="28"/>
          <w:szCs w:val="28"/>
          <w:rtl w:val="0"/>
          <w:lang w:val="it-IT"/>
          <w14:textOutline w14:w="12700" w14:cap="flat">
            <w14:noFill/>
            <w14:miter w14:lim="400000"/>
          </w14:textOutline>
        </w:rPr>
        <w:t xml:space="preserve">ASSALTO DELLE MARINE FVG: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center"/>
        <w:rPr>
          <w:rFonts w:ascii="Avenir Heavy" w:cs="Avenir Heavy" w:hAnsi="Avenir Heavy" w:eastAsia="Avenir Heavy"/>
          <w:sz w:val="28"/>
          <w:szCs w:val="28"/>
          <w14:textOutline w14:w="12700" w14:cap="flat">
            <w14:noFill/>
            <w14:miter w14:lim="400000"/>
          </w14:textOutline>
        </w:rPr>
      </w:pPr>
      <w:r>
        <w:rPr>
          <w:rFonts w:ascii="Avenir Heavy" w:hAnsi="Avenir Heavy"/>
          <w:sz w:val="28"/>
          <w:szCs w:val="28"/>
          <w:rtl w:val="0"/>
          <w:lang w:val="it-IT"/>
          <w14:textOutline w14:w="12700" w14:cap="flat">
            <w14:noFill/>
            <w14:miter w14:lim="400000"/>
          </w14:textOutline>
        </w:rPr>
        <w:t>PIOGGIA DI CHIAMATE PER LA MESSA IN ACQUA DELLE BARCHE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jc w:val="center"/>
        <w:rPr>
          <w:rFonts w:ascii="Avenir Heavy" w:cs="Avenir Heavy" w:hAnsi="Avenir Heavy" w:eastAsia="Avenir Heavy"/>
        </w:rPr>
      </w:pPr>
      <w:r>
        <w:rPr>
          <w:rFonts w:ascii="Avenir Heavy" w:hAnsi="Avenir Heavy"/>
          <w:sz w:val="22"/>
          <w:szCs w:val="22"/>
          <w:rtl w:val="0"/>
          <w:lang w:val="it-IT"/>
        </w:rPr>
        <w:t xml:space="preserve">IMPRESE </w:t>
      </w:r>
      <w:r>
        <w:rPr>
          <w:rFonts w:ascii="Avenir Heavy" w:hAnsi="Avenir Heavy" w:hint="default"/>
          <w:sz w:val="22"/>
          <w:szCs w:val="22"/>
          <w:rtl w:val="0"/>
          <w:lang w:val="it-IT"/>
        </w:rPr>
        <w:t>“</w:t>
      </w:r>
      <w:r>
        <w:rPr>
          <w:rFonts w:ascii="Avenir Heavy" w:hAnsi="Avenir Heavy"/>
          <w:sz w:val="22"/>
          <w:szCs w:val="22"/>
          <w:rtl w:val="0"/>
          <w:lang w:val="it-IT"/>
        </w:rPr>
        <w:t>COSTRETTE</w:t>
      </w:r>
      <w:r>
        <w:rPr>
          <w:rFonts w:ascii="Avenir Heavy" w:hAnsi="Avenir Heavy" w:hint="default"/>
          <w:sz w:val="22"/>
          <w:szCs w:val="22"/>
          <w:rtl w:val="0"/>
          <w:lang w:val="it-IT"/>
        </w:rPr>
        <w:t xml:space="preserve">” </w:t>
      </w:r>
      <w:r>
        <w:rPr>
          <w:rFonts w:ascii="Avenir Heavy" w:hAnsi="Avenir Heavy"/>
          <w:sz w:val="22"/>
          <w:szCs w:val="22"/>
          <w:rtl w:val="0"/>
          <w:lang w:val="it-IT"/>
        </w:rPr>
        <w:t xml:space="preserve">AGLI STRAORDINARI </w:t>
      </w:r>
      <w:r>
        <w:rPr>
          <w:rFonts w:ascii="Arial Unicode MS" w:cs="Arial Unicode MS" w:hAnsi="Arial Unicode MS" w:eastAsia="Arial Unicode MS"/>
          <w:sz w:val="22"/>
          <w:szCs w:val="22"/>
        </w:rPr>
        <w:br w:type="textWrapping"/>
      </w:r>
      <w:r>
        <w:rPr>
          <w:rFonts w:ascii="Avenir Heavy" w:hAnsi="Avenir Heavy"/>
          <w:rtl w:val="0"/>
          <w:lang w:val="it-IT"/>
        </w:rPr>
        <w:t xml:space="preserve">DELLA NEGRA (CONFARTIGIANATO): </w:t>
      </w:r>
      <w:r>
        <w:rPr>
          <w:rFonts w:ascii="Avenir Heavy" w:hAnsi="Avenir Heavy" w:hint="default"/>
          <w:rtl w:val="0"/>
          <w:lang w:val="it-IT"/>
        </w:rPr>
        <w:t>«</w:t>
      </w:r>
      <w:r>
        <w:rPr>
          <w:rFonts w:ascii="Avenir Heavy" w:hAnsi="Avenir Heavy"/>
          <w:rtl w:val="0"/>
          <w:lang w:val="it-IT"/>
        </w:rPr>
        <w:t xml:space="preserve">LAVORIAMO ANCHE 12 ORE AL GIORNO PER STAR DIETRO ALLE RICHIESTE, I PROPRIETARI VOGLIONO USCIRE IN MARE,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jc w:val="center"/>
        <w:rPr>
          <w:rFonts w:ascii="Avenir Heavy" w:cs="Avenir Heavy" w:hAnsi="Avenir Heavy" w:eastAsia="Avenir Heavy"/>
          <w:sz w:val="22"/>
          <w:szCs w:val="22"/>
        </w:rPr>
      </w:pPr>
      <w:r>
        <w:rPr>
          <w:rFonts w:ascii="Avenir Heavy" w:hAnsi="Avenir Heavy"/>
          <w:rtl w:val="0"/>
          <w:lang w:val="it-IT"/>
        </w:rPr>
        <w:t>LA BARCA QUEST</w:t>
      </w:r>
      <w:r>
        <w:rPr>
          <w:rFonts w:ascii="Avenir Heavy" w:hAnsi="Avenir Heavy" w:hint="default"/>
          <w:rtl w:val="0"/>
          <w:lang w:val="it-IT"/>
        </w:rPr>
        <w:t>’</w:t>
      </w:r>
      <w:r>
        <w:rPr>
          <w:rFonts w:ascii="Avenir Heavy" w:hAnsi="Avenir Heavy"/>
          <w:rtl w:val="0"/>
          <w:lang w:val="it-IT"/>
        </w:rPr>
        <w:t>ANNO E</w:t>
      </w:r>
      <w:r>
        <w:rPr>
          <w:rFonts w:ascii="Avenir Heavy" w:hAnsi="Avenir Heavy" w:hint="default"/>
          <w:rtl w:val="0"/>
          <w:lang w:val="it-IT"/>
        </w:rPr>
        <w:t xml:space="preserve">’ </w:t>
      </w:r>
      <w:r>
        <w:rPr>
          <w:rFonts w:ascii="Avenir Heavy" w:hAnsi="Avenir Heavy"/>
          <w:rtl w:val="0"/>
          <w:lang w:val="it-IT"/>
        </w:rPr>
        <w:t>DIVENTATA UN ANTIDOTO AL VIRUS</w:t>
      </w:r>
      <w:r>
        <w:rPr>
          <w:rFonts w:ascii="Avenir Heavy" w:hAnsi="Avenir Heavy" w:hint="default"/>
          <w:rtl w:val="0"/>
          <w:lang w:val="it-IT"/>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Fonts w:ascii="Avenir Book" w:cs="Avenir Book" w:hAnsi="Avenir Book" w:eastAsia="Avenir Book"/>
          <w:sz w:val="24"/>
          <w:szCs w:val="24"/>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Fonts w:ascii="Avenir Book" w:cs="Avenir Book" w:hAnsi="Avenir Book" w:eastAsia="Avenir Book"/>
          <w:sz w:val="24"/>
          <w:szCs w:val="24"/>
          <w14:textOutline w14:w="12700" w14:cap="flat">
            <w14:noFill/>
            <w14:miter w14:lim="400000"/>
          </w14:textOutline>
        </w:rPr>
      </w:pPr>
      <w:r>
        <w:rPr>
          <w:rFonts w:ascii="Avenir Book" w:hAnsi="Avenir Book"/>
          <w:sz w:val="24"/>
          <w:szCs w:val="24"/>
          <w:rtl w:val="0"/>
          <w:lang w:val="it-IT"/>
          <w14:textOutline w14:w="12700" w14:cap="flat">
            <w14:noFill/>
            <w14:miter w14:lim="400000"/>
          </w14:textOutline>
        </w:rPr>
        <w:t xml:space="preserve">Al primo posto tra le regioni italiane </w:t>
      </w:r>
      <w:r>
        <w:rPr>
          <w:rFonts w:ascii="Avenir Heavy" w:hAnsi="Avenir Heavy"/>
          <w:sz w:val="24"/>
          <w:szCs w:val="24"/>
          <w:rtl w:val="0"/>
          <w:lang w:val="it-IT"/>
          <w14:textOutline w14:w="12700" w14:cap="flat">
            <w14:noFill/>
            <w14:miter w14:lim="400000"/>
          </w14:textOutline>
        </w:rPr>
        <w:t xml:space="preserve">con una media di 180,8 posti barca per ognuno dei suoi 94 chilometri di litorale, il Friuli Venezia Giulia si conferma una delle </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capitali</w:t>
      </w:r>
      <w:r>
        <w:rPr>
          <w:rFonts w:ascii="Avenir Heavy" w:hAnsi="Avenir Heavy" w:hint="default"/>
          <w:sz w:val="24"/>
          <w:szCs w:val="24"/>
          <w:rtl w:val="0"/>
          <w:lang w:val="it-IT"/>
          <w14:textOutline w14:w="12700" w14:cap="flat">
            <w14:noFill/>
            <w14:miter w14:lim="400000"/>
          </w14:textOutline>
        </w:rPr>
        <w:t xml:space="preserve">” </w:t>
      </w:r>
      <w:r>
        <w:rPr>
          <w:rFonts w:ascii="Avenir Heavy" w:hAnsi="Avenir Heavy"/>
          <w:sz w:val="24"/>
          <w:szCs w:val="24"/>
          <w:rtl w:val="0"/>
          <w:lang w:val="it-IT"/>
          <w14:textOutline w14:w="12700" w14:cap="flat">
            <w14:noFill/>
            <w14:miter w14:lim="400000"/>
          </w14:textOutline>
        </w:rPr>
        <w:t>italiane del diportismo</w:t>
      </w:r>
      <w:r>
        <w:rPr>
          <w:rFonts w:ascii="Avenir Book" w:hAnsi="Avenir Book"/>
          <w:sz w:val="24"/>
          <w:szCs w:val="24"/>
          <w:rtl w:val="0"/>
          <w:lang w:val="it-IT"/>
          <w14:textOutline w14:w="12700" w14:cap="flat">
            <w14:noFill/>
            <w14:miter w14:lim="400000"/>
          </w14:textOutline>
        </w:rPr>
        <w:t>. Quest</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anno ancora pi</w:t>
      </w:r>
      <w:r>
        <w:rPr>
          <w:rFonts w:ascii="Avenir Book" w:hAnsi="Avenir Book" w:hint="default"/>
          <w:sz w:val="24"/>
          <w:szCs w:val="24"/>
          <w:rtl w:val="0"/>
          <w:lang w:val="it-IT"/>
          <w14:textOutline w14:w="12700" w14:cap="flat">
            <w14:noFill/>
            <w14:miter w14:lim="400000"/>
          </w14:textOutline>
        </w:rPr>
        <w:t>ù</w:t>
      </w:r>
      <w:r>
        <w:rPr>
          <w:rFonts w:ascii="Avenir Book" w:hAnsi="Avenir Book"/>
          <w:sz w:val="24"/>
          <w:szCs w:val="24"/>
          <w:rtl w:val="0"/>
          <w:lang w:val="it-IT"/>
          <w14:textOutline w14:w="12700" w14:cap="flat">
            <w14:noFill/>
            <w14:miter w14:lim="400000"/>
          </w14:textOutline>
        </w:rPr>
        <w:t>. 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epidemia di Covid-19 e le nuove regole per abitare le spiagge promettono un</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infusione di ulteriore vitalit</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 xml:space="preserve">per il settore della nautica da diporto. Le imprese che operano principalmente tra Lignano Sabbiadoro, Marano, Grado, Monfalcone e Trieste alla manutenzione delle barche e alla messa in acqua stanno infatti lavorando a pieno regime. </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Anche 10, 12 ore al giorno per star dietro alle richieste dei clienti - </w:t>
      </w:r>
      <w:r>
        <w:rPr>
          <w:rFonts w:ascii="Avenir Heavy" w:hAnsi="Avenir Heavy"/>
          <w:sz w:val="24"/>
          <w:szCs w:val="24"/>
          <w:rtl w:val="0"/>
          <w:lang w:val="it-IT"/>
          <w14:textOutline w14:w="12700" w14:cap="flat">
            <w14:noFill/>
            <w14:miter w14:lim="400000"/>
          </w14:textOutline>
        </w:rPr>
        <w:t>racconta il capocategoria della nautica di Confartigianato-Imprese Udine, Mauro Della Negra -. In quest</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ultima settimana sono ritornati in forse austriaci e tedeschi</w:t>
      </w:r>
      <w:r>
        <w:rPr>
          <w:rFonts w:ascii="Avenir Book" w:hAnsi="Avenir Book"/>
          <w:sz w:val="24"/>
          <w:szCs w:val="24"/>
          <w:rtl w:val="0"/>
          <w:lang w:val="it-IT"/>
          <w14:textOutline w14:w="12700" w14:cap="flat">
            <w14:noFill/>
            <w14:miter w14:lim="400000"/>
          </w14:textOutline>
        </w:rPr>
        <w:t>, del resto possiamo stimare che circa la met</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delle barche presenti nelle nostre marine sia loro</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Fonts w:ascii="Avenir Book" w:cs="Avenir Book" w:hAnsi="Avenir Book" w:eastAsia="Avenir Book"/>
          <w:sz w:val="24"/>
          <w:szCs w:val="24"/>
          <w14:textOutline w14:w="12700" w14:cap="flat">
            <w14:noFill/>
            <w14:miter w14:lim="400000"/>
          </w14:textOutline>
        </w:rPr>
      </w:pPr>
      <w:r>
        <w:rPr>
          <w:rFonts w:ascii="Avenir Heavy" w:hAnsi="Avenir Heavy"/>
          <w:sz w:val="24"/>
          <w:szCs w:val="24"/>
          <w:rtl w:val="0"/>
          <w:lang w:val="it-IT"/>
          <w14:textOutline w14:w="12700" w14:cap="flat">
            <w14:noFill/>
            <w14:miter w14:lim="400000"/>
          </w14:textOutline>
        </w:rPr>
        <w:t xml:space="preserve">I numeri </w:t>
      </w:r>
      <w:r>
        <w:rPr>
          <w:rFonts w:ascii="Avenir Book" w:hAnsi="Avenir Book"/>
          <w:sz w:val="24"/>
          <w:szCs w:val="24"/>
          <w:rtl w:val="0"/>
          <w:lang w:val="it-IT"/>
          <w14:textOutline w14:w="12700" w14:cap="flat">
            <w14:noFill/>
            <w14:miter w14:lim="400000"/>
          </w14:textOutline>
        </w:rPr>
        <w:t>del settore, elaborati dall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ufficio Studi di Confartigianato Udine, sono imponenti. </w:t>
      </w:r>
      <w:r>
        <w:rPr>
          <w:rFonts w:ascii="Avenir Heavy" w:hAnsi="Avenir Heavy"/>
          <w:sz w:val="24"/>
          <w:szCs w:val="24"/>
          <w:rtl w:val="0"/>
          <w:lang w:val="it-IT"/>
          <w14:textOutline w14:w="12700" w14:cap="flat">
            <w14:noFill/>
            <w14:miter w14:lim="400000"/>
          </w14:textOutline>
        </w:rPr>
        <w:t xml:space="preserve">Il numero di posti barca </w:t>
      </w:r>
      <w:r>
        <w:rPr>
          <w:rFonts w:ascii="Avenir Heavy" w:hAnsi="Avenir Heavy" w:hint="default"/>
          <w:sz w:val="24"/>
          <w:szCs w:val="24"/>
          <w:rtl w:val="0"/>
          <w:lang w:val="it-IT"/>
          <w14:textOutline w14:w="12700" w14:cap="flat">
            <w14:noFill/>
            <w14:miter w14:lim="400000"/>
          </w14:textOutline>
        </w:rPr>
        <w:t xml:space="preserve">è </w:t>
      </w:r>
      <w:r>
        <w:rPr>
          <w:rFonts w:ascii="Avenir Heavy" w:hAnsi="Avenir Heavy"/>
          <w:sz w:val="24"/>
          <w:szCs w:val="24"/>
          <w:rtl w:val="0"/>
          <w:lang w:val="it-IT"/>
          <w14:textOutline w14:w="12700" w14:cap="flat">
            <w14:noFill/>
            <w14:miter w14:lim="400000"/>
          </w14:textOutline>
        </w:rPr>
        <w:t xml:space="preserve">pari a 17.001 </w:t>
      </w:r>
      <w:r>
        <w:rPr>
          <w:rFonts w:ascii="Avenir Book" w:hAnsi="Avenir Book"/>
          <w:sz w:val="24"/>
          <w:szCs w:val="24"/>
          <w:rtl w:val="0"/>
          <w:lang w:val="it-IT"/>
          <w14:textOutline w14:w="12700" w14:cap="flat">
            <w14:noFill/>
            <w14:miter w14:lim="400000"/>
          </w14:textOutline>
        </w:rPr>
        <w:t>con tendenza in lieve crescita dal 2013. Pi</w:t>
      </w:r>
      <w:r>
        <w:rPr>
          <w:rFonts w:ascii="Avenir Book" w:hAnsi="Avenir Book" w:hint="default"/>
          <w:sz w:val="24"/>
          <w:szCs w:val="24"/>
          <w:rtl w:val="0"/>
          <w:lang w:val="it-IT"/>
          <w14:textOutline w14:w="12700" w14:cap="flat">
            <w14:noFill/>
            <w14:miter w14:lim="400000"/>
          </w14:textOutline>
        </w:rPr>
        <w:t xml:space="preserve">ù </w:t>
      </w:r>
      <w:r>
        <w:rPr>
          <w:rFonts w:ascii="Avenir Book" w:hAnsi="Avenir Book"/>
          <w:sz w:val="24"/>
          <w:szCs w:val="24"/>
          <w:rtl w:val="0"/>
          <w:lang w:val="it-IT"/>
          <w14:textOutline w14:w="12700" w14:cap="flat">
            <w14:noFill/>
            <w14:miter w14:lim="400000"/>
          </w14:textOutline>
        </w:rPr>
        <w:t xml:space="preserve">di un posto barca su </w:t>
      </w:r>
      <w:r>
        <w:rPr>
          <w:rFonts w:ascii="Avenir Heavy" w:hAnsi="Avenir Heavy"/>
          <w:sz w:val="24"/>
          <w:szCs w:val="24"/>
          <w:rtl w:val="0"/>
          <w:lang w:val="it-IT"/>
          <w14:textOutline w14:w="12700" w14:cap="flat">
            <w14:noFill/>
            <w14:miter w14:lim="400000"/>
          </w14:textOutline>
        </w:rPr>
        <w:t>10 nel nostro Paese</w:t>
      </w:r>
      <w:r>
        <w:rPr>
          <w:rFonts w:ascii="Avenir Book" w:hAnsi="Avenir Book" w:hint="default"/>
          <w:sz w:val="24"/>
          <w:szCs w:val="24"/>
          <w:rtl w:val="0"/>
          <w:lang w:val="it-IT"/>
          <w14:textOutline w14:w="12700" w14:cap="flat">
            <w14:noFill/>
            <w14:miter w14:lim="400000"/>
          </w14:textOutline>
        </w:rPr>
        <w:t xml:space="preserve"> è </w:t>
      </w:r>
      <w:r>
        <w:rPr>
          <w:rFonts w:ascii="Avenir Book" w:hAnsi="Avenir Book"/>
          <w:sz w:val="24"/>
          <w:szCs w:val="24"/>
          <w:rtl w:val="0"/>
          <w:lang w:val="it-IT"/>
          <w14:textOutline w14:w="12700" w14:cap="flat">
            <w14:noFill/>
            <w14:miter w14:lim="400000"/>
          </w14:textOutline>
        </w:rPr>
        <w:t>localizzato in Friuli Venezia Giulia  (10,5%), che si colloca cos</w:t>
      </w:r>
      <w:r>
        <w:rPr>
          <w:rFonts w:ascii="Avenir Book" w:hAnsi="Avenir Book" w:hint="default"/>
          <w:sz w:val="24"/>
          <w:szCs w:val="24"/>
          <w:rtl w:val="0"/>
          <w:lang w:val="it-IT"/>
          <w14:textOutline w14:w="12700" w14:cap="flat">
            <w14:noFill/>
            <w14:miter w14:lim="400000"/>
          </w14:textOutline>
        </w:rPr>
        <w:t xml:space="preserve">ì </w:t>
      </w:r>
      <w:r>
        <w:rPr>
          <w:rFonts w:ascii="Avenir Book" w:hAnsi="Avenir Book"/>
          <w:sz w:val="24"/>
          <w:szCs w:val="24"/>
          <w:rtl w:val="0"/>
          <w:lang w:val="it-IT"/>
          <w14:textOutline w14:w="12700" w14:cap="flat">
            <w14:noFill/>
            <w14:miter w14:lim="400000"/>
          </w14:textOutline>
        </w:rPr>
        <w:t>al 5</w:t>
      </w:r>
      <w:r>
        <w:rPr>
          <w:rFonts w:ascii="Avenir Book" w:hAnsi="Avenir Book" w:hint="default"/>
          <w:sz w:val="24"/>
          <w:szCs w:val="24"/>
          <w:rtl w:val="0"/>
          <w:lang w:val="it-IT"/>
          <w14:textOutline w14:w="12700" w14:cap="flat">
            <w14:noFill/>
            <w14:miter w14:lim="400000"/>
          </w14:textOutline>
        </w:rPr>
        <w:t xml:space="preserve">° </w:t>
      </w:r>
      <w:r>
        <w:rPr>
          <w:rFonts w:ascii="Avenir Book" w:hAnsi="Avenir Book"/>
          <w:sz w:val="24"/>
          <w:szCs w:val="24"/>
          <w:rtl w:val="0"/>
          <w:lang w:val="it-IT"/>
          <w14:textOutline w14:w="12700" w14:cap="flat">
            <w14:noFill/>
            <w14:miter w14:lim="400000"/>
          </w14:textOutline>
        </w:rPr>
        <w:t xml:space="preserve">posto nella classifica tra le 14 regioni italiane che si affacciano sul mare (la Basilicata Ionica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aggregata alla Puglia, quella Tirrenica alla Calabria). Il numero di unit</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 xml:space="preserve">da diporto iscritte per ogni 100 posti barca (indice di affollamento)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per</w:t>
      </w:r>
      <w:r>
        <w:rPr>
          <w:rFonts w:ascii="Avenir Book" w:hAnsi="Avenir Book" w:hint="default"/>
          <w:sz w:val="24"/>
          <w:szCs w:val="24"/>
          <w:rtl w:val="0"/>
          <w:lang w:val="it-IT"/>
          <w14:textOutline w14:w="12700" w14:cap="flat">
            <w14:noFill/>
            <w14:miter w14:lim="400000"/>
          </w14:textOutline>
        </w:rPr>
        <w:t xml:space="preserve">ò </w:t>
      </w:r>
      <w:r>
        <w:rPr>
          <w:rFonts w:ascii="Avenir Book" w:hAnsi="Avenir Book"/>
          <w:sz w:val="24"/>
          <w:szCs w:val="24"/>
          <w:rtl w:val="0"/>
          <w:lang w:val="it-IT"/>
          <w14:textOutline w14:w="12700" w14:cap="flat">
            <w14:noFill/>
            <w14:miter w14:lim="400000"/>
          </w14:textOutline>
        </w:rPr>
        <w:t>basso, pari a 23 (10</w:t>
      </w:r>
      <w:r>
        <w:rPr>
          <w:rFonts w:ascii="Avenir Book" w:hAnsi="Avenir Book" w:hint="default"/>
          <w:sz w:val="24"/>
          <w:szCs w:val="24"/>
          <w:rtl w:val="0"/>
          <w:lang w:val="it-IT"/>
          <w14:textOutline w14:w="12700" w14:cap="flat">
            <w14:noFill/>
            <w14:miter w14:lim="400000"/>
          </w14:textOutline>
        </w:rPr>
        <w:t xml:space="preserve">° </w:t>
      </w:r>
      <w:r>
        <w:rPr>
          <w:rFonts w:ascii="Avenir Book" w:hAnsi="Avenir Book"/>
          <w:sz w:val="24"/>
          <w:szCs w:val="24"/>
          <w:rtl w:val="0"/>
          <w:lang w:val="it-IT"/>
          <w14:textOutline w14:w="12700" w14:cap="flat">
            <w14:noFill/>
            <w14:miter w14:lim="400000"/>
          </w14:textOutline>
        </w:rPr>
        <w:t xml:space="preserve">posto su 14 regioni italiane) per un totale di 3.906 imbarcazioni da diporto presenti (dato 2018). A prendersene cura sono complessivamente </w:t>
      </w:r>
      <w:r>
        <w:rPr>
          <w:rFonts w:ascii="Avenir Heavy" w:hAnsi="Avenir Heavy"/>
          <w:sz w:val="24"/>
          <w:szCs w:val="24"/>
          <w:rtl w:val="0"/>
          <w:lang w:val="it-IT"/>
          <w14:textOutline w14:w="12700" w14:cap="flat">
            <w14:noFill/>
            <w14:miter w14:lim="400000"/>
          </w14:textOutline>
        </w:rPr>
        <w:t>248 imprese, per un totale di 316 localizzazioni, di cui 211 artigiane</w:t>
      </w:r>
      <w:r>
        <w:rPr>
          <w:rFonts w:ascii="Avenir Book" w:hAnsi="Avenir Book"/>
          <w:sz w:val="24"/>
          <w:szCs w:val="24"/>
          <w:rtl w:val="0"/>
          <w:lang w:val="it-IT"/>
          <w14:textOutline w14:w="12700" w14:cap="flat">
            <w14:noFill/>
            <w14:miter w14:lim="400000"/>
          </w14:textOutline>
        </w:rPr>
        <w:t xml:space="preserve">. Di queste, 79 (37%) operano nel settore della costruzione di imbarcazioni da diporto e sportive, 132 (63%) nella riparazione e manutenzione di navi e imbarcazioni (esclusi motori). </w:t>
      </w:r>
      <w:r>
        <w:rPr>
          <w:rFonts w:ascii="Avenir Heavy" w:hAnsi="Avenir Heavy"/>
          <w:sz w:val="24"/>
          <w:szCs w:val="24"/>
          <w:rtl w:val="0"/>
          <w:lang w:val="it-IT"/>
          <w14:textOutline w14:w="12700" w14:cap="flat">
            <w14:noFill/>
            <w14:miter w14:lim="400000"/>
          </w14:textOutline>
        </w:rPr>
        <w:t xml:space="preserve">Gli addetti complessivi sono 1.156 </w:t>
      </w:r>
      <w:r>
        <w:rPr>
          <w:rFonts w:ascii="Avenir Book" w:hAnsi="Avenir Book"/>
          <w:sz w:val="24"/>
          <w:szCs w:val="24"/>
          <w:rtl w:val="0"/>
          <w:lang w:val="it-IT"/>
          <w14:textOutline w14:w="12700" w14:cap="flat">
            <w14:noFill/>
            <w14:miter w14:lim="400000"/>
          </w14:textOutline>
        </w:rPr>
        <w:t xml:space="preserve">di cui 1.004 dipendenti, 373 a libro paga delle imprese artigiane.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Fonts w:ascii="Avenir Book" w:cs="Avenir Book" w:hAnsi="Avenir Book" w:eastAsia="Avenir Book"/>
          <w:sz w:val="24"/>
          <w:szCs w:val="24"/>
          <w14:textOutline w14:w="12700" w14:cap="flat">
            <w14:noFill/>
            <w14:miter w14:lim="400000"/>
          </w14:textOutline>
        </w:rPr>
      </w:pPr>
      <w:r>
        <w:rPr>
          <w:rFonts w:ascii="Avenir Book" w:hAnsi="Avenir Book"/>
          <w:sz w:val="24"/>
          <w:szCs w:val="24"/>
          <w:rtl w:val="0"/>
          <w:lang w:val="it-IT"/>
          <w14:textOutline w14:w="12700" w14:cap="flat">
            <w14:noFill/>
            <w14:miter w14:lim="400000"/>
          </w14:textOutline>
        </w:rPr>
        <w:t xml:space="preserve">Numeri importanti che tuttavia Della Negra invita a considerare in difetto. </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Ci sono pi</w:t>
      </w:r>
      <w:r>
        <w:rPr>
          <w:rFonts w:ascii="Avenir Book" w:hAnsi="Avenir Book" w:hint="default"/>
          <w:sz w:val="24"/>
          <w:szCs w:val="24"/>
          <w:rtl w:val="0"/>
          <w:lang w:val="it-IT"/>
          <w14:textOutline w14:w="12700" w14:cap="flat">
            <w14:noFill/>
            <w14:miter w14:lim="400000"/>
          </w14:textOutline>
        </w:rPr>
        <w:t xml:space="preserve">ù </w:t>
      </w:r>
      <w:r>
        <w:rPr>
          <w:rFonts w:ascii="Avenir Book" w:hAnsi="Avenir Book"/>
          <w:sz w:val="24"/>
          <w:szCs w:val="24"/>
          <w:rtl w:val="0"/>
          <w:lang w:val="it-IT"/>
          <w14:textOutline w14:w="12700" w14:cap="flat">
            <w14:noFill/>
            <w14:miter w14:lim="400000"/>
          </w14:textOutline>
        </w:rPr>
        <w:t>imprese e pi</w:t>
      </w:r>
      <w:r>
        <w:rPr>
          <w:rFonts w:ascii="Avenir Book" w:hAnsi="Avenir Book" w:hint="default"/>
          <w:sz w:val="24"/>
          <w:szCs w:val="24"/>
          <w:rtl w:val="0"/>
          <w:lang w:val="it-IT"/>
          <w14:textOutline w14:w="12700" w14:cap="flat">
            <w14:noFill/>
            <w14:miter w14:lim="400000"/>
          </w14:textOutline>
        </w:rPr>
        <w:t xml:space="preserve">ù </w:t>
      </w:r>
      <w:r>
        <w:rPr>
          <w:rFonts w:ascii="Avenir Book" w:hAnsi="Avenir Book"/>
          <w:sz w:val="24"/>
          <w:szCs w:val="24"/>
          <w:rtl w:val="0"/>
          <w:lang w:val="it-IT"/>
          <w14:textOutline w14:w="12700" w14:cap="flat">
            <w14:noFill/>
            <w14:miter w14:lim="400000"/>
          </w14:textOutline>
        </w:rPr>
        <w:t xml:space="preserve">addetti, il sistema dei codici Ateco non consente di fotografare esattamente la consistenza del settore che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ancor pi</w:t>
      </w:r>
      <w:r>
        <w:rPr>
          <w:rFonts w:ascii="Avenir Book" w:hAnsi="Avenir Book" w:hint="default"/>
          <w:sz w:val="24"/>
          <w:szCs w:val="24"/>
          <w:rtl w:val="0"/>
          <w:lang w:val="it-IT"/>
          <w14:textOutline w14:w="12700" w14:cap="flat">
            <w14:noFill/>
            <w14:miter w14:lim="400000"/>
          </w14:textOutline>
        </w:rPr>
        <w:t xml:space="preserve">ù </w:t>
      </w:r>
      <w:r>
        <w:rPr>
          <w:rFonts w:ascii="Avenir Book" w:hAnsi="Avenir Book"/>
          <w:sz w:val="24"/>
          <w:szCs w:val="24"/>
          <w:rtl w:val="0"/>
          <w:lang w:val="it-IT"/>
          <w14:textOutline w14:w="12700" w14:cap="flat">
            <w14:noFill/>
            <w14:miter w14:lim="400000"/>
          </w14:textOutline>
        </w:rPr>
        <w:t>spallato di quanto non dicano i numeri</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w:t>
      </w:r>
      <w:r>
        <w:rPr>
          <w:rFonts w:ascii="Arial Unicode MS" w:cs="Arial Unicode MS" w:hAnsi="Arial Unicode MS" w:eastAsia="Arial Unicode MS"/>
          <w:sz w:val="24"/>
          <w:szCs w:val="24"/>
          <w14:textOutline w14:w="12700" w14:cap="flat">
            <w14:noFill/>
            <w14:miter w14:lim="400000"/>
          </w14:textOutline>
        </w:rPr>
        <w:br w:type="textWrapping"/>
      </w:r>
      <w:r>
        <w:rPr>
          <w:rFonts w:ascii="Avenir Book" w:hAnsi="Avenir Book"/>
          <w:sz w:val="24"/>
          <w:szCs w:val="24"/>
          <w:rtl w:val="0"/>
          <w:lang w:val="it-IT"/>
          <w14:textOutline w14:w="12700" w14:cap="flat">
            <w14:noFill/>
            <w14:miter w14:lim="400000"/>
          </w14:textOutline>
        </w:rPr>
        <w:t xml:space="preserve">Al palo per circa un mese e mezzo causa Covid-19, il comparto a maggio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 xml:space="preserve">tornato al lavoro. </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Stiamo cercando di recuperare il tempo perso, maggio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ormai da anni diventato il mese in cui le barche vengono rimesse in acqua, ma quest</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anno </w:t>
      </w:r>
      <w:r>
        <w:rPr>
          <w:rFonts w:ascii="Avenir Book" w:hAnsi="Avenir Book" w:hint="default"/>
          <w:sz w:val="24"/>
          <w:szCs w:val="24"/>
          <w:rtl w:val="0"/>
          <w:lang w:val="it-IT"/>
          <w14:textOutline w14:w="12700" w14:cap="flat">
            <w14:noFill/>
            <w14:miter w14:lim="400000"/>
          </w14:textOutline>
        </w:rPr>
        <w:t xml:space="preserve">è </w:t>
      </w:r>
      <w:r>
        <w:rPr>
          <w:rFonts w:ascii="Avenir Book" w:hAnsi="Avenir Book"/>
          <w:sz w:val="24"/>
          <w:szCs w:val="24"/>
          <w:rtl w:val="0"/>
          <w:lang w:val="it-IT"/>
          <w14:textOutline w14:w="12700" w14:cap="flat">
            <w14:noFill/>
            <w14:miter w14:lim="400000"/>
          </w14:textOutline>
        </w:rPr>
        <w:t>saltato perch</w:t>
      </w:r>
      <w:r>
        <w:rPr>
          <w:rFonts w:ascii="Avenir Book" w:hAnsi="Avenir Book" w:hint="default"/>
          <w:sz w:val="24"/>
          <w:szCs w:val="24"/>
          <w:rtl w:val="0"/>
          <w:lang w:val="it-IT"/>
          <w14:textOutline w14:w="12700" w14:cap="flat">
            <w14:noFill/>
            <w14:miter w14:lim="400000"/>
          </w14:textOutline>
        </w:rPr>
        <w:t xml:space="preserve">é </w:t>
      </w:r>
      <w:r>
        <w:rPr>
          <w:rFonts w:ascii="Avenir Book" w:hAnsi="Avenir Book"/>
          <w:sz w:val="24"/>
          <w:szCs w:val="24"/>
          <w:rtl w:val="0"/>
          <w:lang w:val="it-IT"/>
          <w14:textOutline w14:w="12700" w14:cap="flat">
            <w14:noFill/>
            <w14:miter w14:lim="400000"/>
          </w14:textOutline>
        </w:rPr>
        <w:t>ad aprile non abbiamo potuto lavorare. Nonostante avessimo codici Ateco ai quali era consentito il prosieguo dell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attivit</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abbiamo dovuto attendere la riapertura delle darsene che in molt</w:t>
      </w:r>
      <w:r>
        <w:rPr>
          <w:rFonts w:ascii="Avenir Book" w:hAnsi="Avenir Book"/>
          <w:sz w:val="24"/>
          <w:szCs w:val="24"/>
          <w:rtl w:val="0"/>
          <w:lang w:val="it-IT"/>
          <w14:textOutline w14:w="12700" w14:cap="flat">
            <w14:noFill/>
            <w14:miter w14:lim="400000"/>
          </w14:textOutline>
        </w:rPr>
        <w:t>i</w:t>
      </w:r>
      <w:r>
        <w:rPr>
          <w:rFonts w:ascii="Avenir Book" w:hAnsi="Avenir Book"/>
          <w:sz w:val="24"/>
          <w:szCs w:val="24"/>
          <w:rtl w:val="0"/>
          <w:lang w:val="it-IT"/>
          <w14:textOutline w14:w="12700" w14:cap="flat">
            <w14:noFill/>
            <w14:miter w14:lim="400000"/>
          </w14:textOutline>
        </w:rPr>
        <w:t xml:space="preserve"> casi avevano chiuso precauzionalmente</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w:t>
      </w:r>
      <w:r>
        <w:rPr>
          <w:rFonts w:ascii="Avenir Heavy" w:hAnsi="Avenir Heavy"/>
          <w:sz w:val="24"/>
          <w:szCs w:val="24"/>
          <w:rtl w:val="0"/>
          <w:lang w:val="it-IT"/>
          <w14:textOutline w14:w="12700" w14:cap="flat">
            <w14:noFill/>
            <w14:miter w14:lim="400000"/>
          </w14:textOutline>
        </w:rPr>
        <w:t xml:space="preserve">Ora le imprese sono inondate di chiamate. </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Da altre regioni e dall</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estero. I proprietari ci chiedono di verificare lo stato delle imbarcazioni e di metterle in acqua rapidamente, perch</w:t>
      </w:r>
      <w:r>
        <w:rPr>
          <w:rFonts w:ascii="Avenir Heavy" w:hAnsi="Avenir Heavy" w:hint="default"/>
          <w:sz w:val="24"/>
          <w:szCs w:val="24"/>
          <w:rtl w:val="0"/>
          <w:lang w:val="it-IT"/>
          <w14:textOutline w14:w="12700" w14:cap="flat">
            <w14:noFill/>
            <w14:miter w14:lim="400000"/>
          </w14:textOutline>
        </w:rPr>
        <w:t xml:space="preserve">é </w:t>
      </w:r>
      <w:r>
        <w:rPr>
          <w:rFonts w:ascii="Avenir Heavy" w:hAnsi="Avenir Heavy"/>
          <w:sz w:val="24"/>
          <w:szCs w:val="24"/>
          <w:rtl w:val="0"/>
          <w:lang w:val="it-IT"/>
          <w14:textOutline w14:w="12700" w14:cap="flat">
            <w14:noFill/>
            <w14:miter w14:lim="400000"/>
          </w14:textOutline>
        </w:rPr>
        <w:t>quest</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anno pi</w:t>
      </w:r>
      <w:r>
        <w:rPr>
          <w:rFonts w:ascii="Avenir Heavy" w:hAnsi="Avenir Heavy" w:hint="default"/>
          <w:sz w:val="24"/>
          <w:szCs w:val="24"/>
          <w:rtl w:val="0"/>
          <w:lang w:val="it-IT"/>
          <w14:textOutline w14:w="12700" w14:cap="flat">
            <w14:noFill/>
            <w14:miter w14:lim="400000"/>
          </w14:textOutline>
        </w:rPr>
        <w:t xml:space="preserve">ù </w:t>
      </w:r>
      <w:r>
        <w:rPr>
          <w:rFonts w:ascii="Avenir Heavy" w:hAnsi="Avenir Heavy"/>
          <w:sz w:val="24"/>
          <w:szCs w:val="24"/>
          <w:rtl w:val="0"/>
          <w:lang w:val="it-IT"/>
          <w14:textOutline w14:w="12700" w14:cap="flat">
            <w14:noFill/>
            <w14:miter w14:lim="400000"/>
          </w14:textOutline>
        </w:rPr>
        <w:t xml:space="preserve">che mai la </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vacanza</w:t>
      </w:r>
      <w:r>
        <w:rPr>
          <w:rFonts w:ascii="Avenir Heavy" w:hAnsi="Avenir Heavy" w:hint="default"/>
          <w:sz w:val="24"/>
          <w:szCs w:val="24"/>
          <w:rtl w:val="0"/>
          <w:lang w:val="it-IT"/>
          <w14:textOutline w14:w="12700" w14:cap="flat">
            <w14:noFill/>
            <w14:miter w14:lim="400000"/>
          </w14:textOutline>
        </w:rPr>
        <w:t xml:space="preserve">” </w:t>
      </w:r>
      <w:r>
        <w:rPr>
          <w:rFonts w:ascii="Avenir Heavy" w:hAnsi="Avenir Heavy"/>
          <w:sz w:val="24"/>
          <w:szCs w:val="24"/>
          <w:rtl w:val="0"/>
          <w:lang w:val="it-IT"/>
          <w14:textOutline w14:w="12700" w14:cap="flat">
            <w14:noFill/>
            <w14:miter w14:lim="400000"/>
          </w14:textOutline>
        </w:rPr>
        <w:t xml:space="preserve">in mare </w:t>
      </w:r>
      <w:r>
        <w:rPr>
          <w:rFonts w:ascii="Avenir Heavy" w:hAnsi="Avenir Heavy" w:hint="default"/>
          <w:sz w:val="24"/>
          <w:szCs w:val="24"/>
          <w:rtl w:val="0"/>
          <w:lang w:val="it-IT"/>
          <w14:textOutline w14:w="12700" w14:cap="flat">
            <w14:noFill/>
            <w14:miter w14:lim="400000"/>
          </w14:textOutline>
        </w:rPr>
        <w:t xml:space="preserve">è </w:t>
      </w:r>
      <w:r>
        <w:rPr>
          <w:rFonts w:ascii="Avenir Heavy" w:hAnsi="Avenir Heavy"/>
          <w:sz w:val="24"/>
          <w:szCs w:val="24"/>
          <w:rtl w:val="0"/>
          <w:lang w:val="it-IT"/>
          <w14:textOutline w14:w="12700" w14:cap="flat">
            <w14:noFill/>
            <w14:miter w14:lim="400000"/>
          </w14:textOutline>
        </w:rPr>
        <w:t>sinonimo di sicurezza</w:t>
      </w:r>
      <w:r>
        <w:rPr>
          <w:rFonts w:ascii="Avenir Heavy" w:hAnsi="Avenir Heavy"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conclude Della Negra che spera di recuperare buona parte delle perdite subite durante il lockdown. </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Se tutto andr</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bene chiuderemo 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anno con </w:t>
      </w:r>
      <w:r>
        <w:rPr>
          <w:rFonts w:ascii="Avenir Book" w:hAnsi="Avenir Book"/>
          <w:sz w:val="24"/>
          <w:szCs w:val="24"/>
          <w:rtl w:val="0"/>
          <w:lang w:val="it-IT"/>
          <w14:textOutline w14:w="12700" w14:cap="flat">
            <w14:noFill/>
            <w14:miter w14:lim="400000"/>
          </w14:textOutline>
        </w:rPr>
        <w:t xml:space="preserve">un </w:t>
      </w:r>
      <w:r>
        <w:rPr>
          <w:rFonts w:ascii="Avenir Book" w:hAnsi="Avenir Book"/>
          <w:sz w:val="24"/>
          <w:szCs w:val="24"/>
          <w:rtl w:val="0"/>
          <w:lang w:val="it-IT"/>
          <w14:textOutline w14:w="12700" w14:cap="flat">
            <w14:noFill/>
            <w14:miter w14:lim="400000"/>
          </w14:textOutline>
        </w:rPr>
        <w:t>30% di perdite</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Fonts w:ascii="Avenir Book" w:cs="Avenir Book" w:hAnsi="Avenir Book" w:eastAsia="Avenir Book"/>
          <w:sz w:val="24"/>
          <w:szCs w:val="24"/>
          <w14:textOutline w14:w="12700" w14:cap="flat">
            <w14:noFill/>
            <w14:miter w14:lim="400000"/>
          </w14:textOutline>
        </w:rPr>
      </w:pPr>
      <w:r>
        <w:rPr>
          <w:rFonts w:ascii="Avenir Book" w:hAnsi="Avenir Book"/>
          <w:sz w:val="24"/>
          <w:szCs w:val="24"/>
          <w:rtl w:val="0"/>
          <w:lang w:val="it-IT"/>
          <w14:textOutline w14:w="12700" w14:cap="flat">
            <w14:noFill/>
            <w14:miter w14:lim="400000"/>
          </w14:textOutline>
        </w:rPr>
        <w:t>Considerazioni condivise da Confartigianato Gorizia che al pari dell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associazione territoriale di Udine auspica un intervento pubblico che prenda in considerazione le difficolt</w:t>
      </w:r>
      <w:r>
        <w:rPr>
          <w:rFonts w:ascii="Avenir Book" w:hAnsi="Avenir Book" w:hint="default"/>
          <w:sz w:val="24"/>
          <w:szCs w:val="24"/>
          <w:rtl w:val="0"/>
          <w:lang w:val="it-IT"/>
          <w14:textOutline w14:w="12700" w14:cap="flat">
            <w14:noFill/>
            <w14:miter w14:lim="400000"/>
          </w14:textOutline>
        </w:rPr>
        <w:t xml:space="preserve">à </w:t>
      </w:r>
      <w:r>
        <w:rPr>
          <w:rFonts w:ascii="Avenir Book" w:hAnsi="Avenir Book"/>
          <w:sz w:val="24"/>
          <w:szCs w:val="24"/>
          <w:rtl w:val="0"/>
          <w:lang w:val="it-IT"/>
          <w14:textOutline w14:w="12700" w14:cap="flat">
            <w14:noFill/>
            <w14:miter w14:lim="400000"/>
          </w14:textOutline>
        </w:rPr>
        <w:t>patite dalle imprese del settore nautico, escluse dai contributi a fondo perso concessi dalla Regione. Da qui l</w:t>
      </w:r>
      <w:r>
        <w:rPr>
          <w:rFonts w:ascii="Avenir Book" w:hAnsi="Avenir Book" w:hint="default"/>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appello a una sola voce delle due Confartigianato provinciali: </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Dovesse esserci un avanzo delle risorse gi</w:t>
      </w:r>
      <w:r>
        <w:rPr>
          <w:rFonts w:ascii="Avenir Heavy" w:hAnsi="Avenir Heavy" w:hint="default"/>
          <w:sz w:val="24"/>
          <w:szCs w:val="24"/>
          <w:rtl w:val="0"/>
          <w:lang w:val="it-IT"/>
          <w14:textOutline w14:w="12700" w14:cap="flat">
            <w14:noFill/>
            <w14:miter w14:lim="400000"/>
          </w14:textOutline>
        </w:rPr>
        <w:t xml:space="preserve">à </w:t>
      </w:r>
      <w:r>
        <w:rPr>
          <w:rFonts w:ascii="Avenir Heavy" w:hAnsi="Avenir Heavy"/>
          <w:sz w:val="24"/>
          <w:szCs w:val="24"/>
          <w:rtl w:val="0"/>
          <w:lang w:val="it-IT"/>
          <w14:textOutline w14:w="12700" w14:cap="flat">
            <w14:noFill/>
            <w14:miter w14:lim="400000"/>
          </w14:textOutline>
        </w:rPr>
        <w:t xml:space="preserve">stanziate chiediamo alla Regione di destinarne una parte alle imprese della nautica da diporto viceversa di cercare nelle pieghe del bilancio nuovi fondi per tamponare le perdite che ci sono state anche in questo settore - afferma il segretario di Confartigianato-Imprese Gorizia, Marco Gobbo - a maggior ragione considerato che alle marine il contributo </w:t>
      </w:r>
      <w:r>
        <w:rPr>
          <w:rFonts w:ascii="Avenir Heavy" w:hAnsi="Avenir Heavy" w:hint="default"/>
          <w:sz w:val="24"/>
          <w:szCs w:val="24"/>
          <w:rtl w:val="0"/>
          <w:lang w:val="it-IT"/>
          <w14:textOutline w14:w="12700" w14:cap="flat">
            <w14:noFill/>
            <w14:miter w14:lim="400000"/>
          </w14:textOutline>
        </w:rPr>
        <w:t xml:space="preserve">è </w:t>
      </w:r>
      <w:r>
        <w:rPr>
          <w:rFonts w:ascii="Avenir Heavy" w:hAnsi="Avenir Heavy"/>
          <w:sz w:val="24"/>
          <w:szCs w:val="24"/>
          <w:rtl w:val="0"/>
          <w:lang w:val="it-IT"/>
          <w14:textOutline w14:w="12700" w14:cap="flat">
            <w14:noFill/>
            <w14:miter w14:lim="400000"/>
          </w14:textOutline>
        </w:rPr>
        <w:t>stato concesso</w:t>
      </w:r>
      <w:r>
        <w:rPr>
          <w:rFonts w:ascii="Avenir Heavy" w:hAnsi="Avenir Heavy" w:hint="default"/>
          <w:sz w:val="24"/>
          <w:szCs w:val="24"/>
          <w:rtl w:val="0"/>
          <w:lang w:val="it-IT"/>
          <w14:textOutline w14:w="12700" w14:cap="flat">
            <w14:noFill/>
            <w14:miter w14:lim="400000"/>
          </w14:textOutline>
        </w:rPr>
        <w:t>»</w:t>
      </w:r>
      <w:r>
        <w:rPr>
          <w:rFonts w:ascii="Avenir Heavy" w:hAnsi="Avenir Heavy"/>
          <w:sz w:val="24"/>
          <w:szCs w:val="24"/>
          <w:rtl w:val="0"/>
          <w:lang w:val="it-IT"/>
          <w14:textOutline w14:w="12700" w14:cap="flat">
            <w14:noFill/>
            <w14:miter w14:lim="400000"/>
          </w14:textOutline>
        </w:rPr>
        <w:t>.</w:t>
      </w:r>
      <w:r>
        <w:rPr>
          <w:rFonts w:ascii="Avenir Book" w:hAnsi="Avenir Book"/>
          <w:sz w:val="24"/>
          <w:szCs w:val="24"/>
          <w:rtl w:val="0"/>
          <w:lang w:val="it-IT"/>
          <w14:textOutline w14:w="12700" w14:cap="flat">
            <w14:noFill/>
            <w14:miter w14:lim="400000"/>
          </w14:textOutline>
        </w:rPr>
        <w:t xml:space="preserv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rPr>
          <w:rFonts w:ascii="Avenir Book" w:cs="Avenir Book" w:hAnsi="Avenir Book" w:eastAsia="Avenir Book"/>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rPr>
          <w:rFonts w:ascii="Avenir Book" w:cs="Avenir Book" w:hAnsi="Avenir Book" w:eastAsia="Avenir Book"/>
          <w:sz w:val="22"/>
          <w:szCs w:val="22"/>
        </w:rPr>
      </w:pPr>
      <w:r>
        <w:rPr>
          <w:rFonts w:ascii="Avenir Book" w:hAnsi="Avenir Book"/>
          <w:sz w:val="22"/>
          <w:szCs w:val="22"/>
          <w:rtl w:val="0"/>
          <w:lang w:val="it-IT"/>
        </w:rPr>
        <w:t xml:space="preserve">Ufficio Stampa Confartigianato-Imprese Udine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rPr>
          <w:rFonts w:ascii="Avenir Book" w:cs="Avenir Book" w:hAnsi="Avenir Book" w:eastAsia="Avenir Book"/>
          <w:sz w:val="22"/>
          <w:szCs w:val="22"/>
        </w:rPr>
      </w:pPr>
      <w:r>
        <w:rPr>
          <w:rFonts w:ascii="Avenir Book" w:hAnsi="Avenir Book"/>
          <w:sz w:val="22"/>
          <w:szCs w:val="22"/>
          <w:rtl w:val="0"/>
          <w:lang w:val="it-IT"/>
        </w:rPr>
        <w:t xml:space="preserve">Maura Delle Case </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rPr>
          <w:rStyle w:val="Nessuno"/>
          <w:rFonts w:ascii="Avenir Book" w:cs="Avenir Book" w:hAnsi="Avenir Book" w:eastAsia="Avenir Book"/>
          <w:sz w:val="22"/>
          <w:szCs w:val="22"/>
        </w:rPr>
      </w:pPr>
      <w:r>
        <w:rPr>
          <w:rStyle w:val="Hyperlink.0"/>
        </w:rPr>
        <w:fldChar w:fldCharType="begin" w:fldLock="0"/>
      </w:r>
      <w:r>
        <w:rPr>
          <w:rStyle w:val="Hyperlink.0"/>
        </w:rPr>
        <w:instrText xml:space="preserve"> HYPERLINK "mailto:mauradellecase@gmail.com"</w:instrText>
      </w:r>
      <w:r>
        <w:rPr>
          <w:rStyle w:val="Hyperlink.0"/>
        </w:rPr>
        <w:fldChar w:fldCharType="separate" w:fldLock="0"/>
      </w:r>
      <w:r>
        <w:rPr>
          <w:rStyle w:val="Hyperlink.0"/>
          <w:rtl w:val="0"/>
          <w:lang w:val="it-IT"/>
        </w:rPr>
        <w:t>mauradellecase@gmail.com</w:t>
      </w:r>
      <w:r>
        <w:rPr/>
        <w:fldChar w:fldCharType="end" w:fldLock="0"/>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1"/>
        </w:tabs>
        <w:spacing w:before="0"/>
        <w:rPr>
          <w:rStyle w:val="Nessuno"/>
          <w:rFonts w:ascii="Avenir Book" w:cs="Avenir Book" w:hAnsi="Avenir Book" w:eastAsia="Avenir Book"/>
          <w:sz w:val="22"/>
          <w:szCs w:val="22"/>
        </w:rPr>
      </w:pPr>
      <w:r>
        <w:rPr>
          <w:rStyle w:val="Nessuno"/>
          <w:rFonts w:ascii="Avenir Book" w:hAnsi="Avenir Book"/>
          <w:sz w:val="22"/>
          <w:szCs w:val="22"/>
          <w:rtl w:val="0"/>
          <w:lang w:val="it-IT"/>
        </w:rPr>
        <w:t>3478794338</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pacing w:after="120" w:line="259" w:lineRule="auto"/>
        <w:jc w:val="both"/>
        <w:rPr>
          <w:rStyle w:val="Nessuno"/>
          <w:rFonts w:ascii="Avenir Book" w:cs="Avenir Book" w:hAnsi="Avenir Book" w:eastAsia="Avenir Book"/>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center"/>
        <w:rPr>
          <w:rStyle w:val="Nessuno"/>
          <w:rFonts w:ascii="Calibri" w:cs="Calibri" w:hAnsi="Calibri" w:eastAsia="Calibri"/>
          <w:sz w:val="22"/>
          <w:szCs w:val="22"/>
          <w14:textOutline w14:w="12700" w14:cap="flat">
            <w14:noFill/>
            <w14:miter w14:lim="400000"/>
          </w14:textOutline>
        </w:rPr>
      </w:pPr>
      <w:r>
        <w:drawing>
          <wp:inline distT="0" distB="0" distL="0" distR="0">
            <wp:extent cx="5997793" cy="3452867"/>
            <wp:effectExtent l="0" t="0" r="0" b="0"/>
            <wp:docPr id="1073741830" name="officeArt object"/>
            <wp:cNvGraphicFramePr/>
            <a:graphic xmlns:a="http://schemas.openxmlformats.org/drawingml/2006/main">
              <a:graphicData uri="http://schemas.openxmlformats.org/drawingml/2006/chart">
                <c:chart xmlns:c="http://schemas.openxmlformats.org/drawingml/2006/chart" r:id="rId4"/>
              </a:graphicData>
            </a:graphic>
          </wp:inline>
        </w:draw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6"/>
          <w:szCs w:val="26"/>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6"/>
          <w:szCs w:val="26"/>
          <w14:textOutline w14:w="12700" w14:cap="flat">
            <w14:noFill/>
            <w14:miter w14:lim="400000"/>
          </w14:textOutline>
        </w:rPr>
      </w:pPr>
      <w:r>
        <w:drawing>
          <wp:inline distT="0" distB="0" distL="0" distR="0">
            <wp:extent cx="5997791" cy="3452867"/>
            <wp:effectExtent l="0" t="0" r="0" b="0"/>
            <wp:docPr id="1073741831" name="officeArt object"/>
            <wp:cNvGraphicFramePr/>
            <a:graphic xmlns:a="http://schemas.openxmlformats.org/drawingml/2006/main">
              <a:graphicData uri="http://schemas.openxmlformats.org/drawingml/2006/chart">
                <c:chart xmlns:c="http://schemas.openxmlformats.org/drawingml/2006/chart" r:id="rId5"/>
              </a:graphicData>
            </a:graphic>
          </wp:inline>
        </w:draw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6"/>
          <w:szCs w:val="26"/>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2"/>
          <w:szCs w:val="22"/>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sz w:val="26"/>
          <w:szCs w:val="26"/>
          <w14:textOutline w14:w="12700" w14:cap="flat">
            <w14:noFill/>
            <w14:miter w14:lim="400000"/>
          </w14:textOutline>
        </w:rPr>
      </w:pPr>
      <w:r>
        <w:rPr>
          <w:rStyle w:val="Nessuno"/>
          <w:rFonts w:ascii="Calibri" w:hAnsi="Calibri"/>
          <w:sz w:val="26"/>
          <w:szCs w:val="26"/>
          <w:rtl w:val="0"/>
          <w:lang w:val="it-IT"/>
          <w14:textOutline w14:w="12700" w14:cap="flat">
            <w14:noFill/>
            <w14:miter w14:lim="400000"/>
          </w14:textOutline>
        </w:rPr>
        <w:t>APPENDICE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rPr>
          <w:rStyle w:val="Nessuno"/>
          <w:rFonts w:ascii="Calibri" w:cs="Calibri" w:hAnsi="Calibri" w:eastAsia="Calibri"/>
          <w:b w:val="1"/>
          <w:bCs w:val="1"/>
          <w:sz w:val="24"/>
          <w:szCs w:val="24"/>
          <w14:textOutline w14:w="12700" w14:cap="flat">
            <w14:noFill/>
            <w14:miter w14:lim="400000"/>
          </w14:textOutline>
        </w:rPr>
      </w:pPr>
      <w:r>
        <w:rPr>
          <w:rStyle w:val="Nessuno"/>
          <w:rFonts w:ascii="Calibri" w:hAnsi="Calibri"/>
          <w:b w:val="1"/>
          <w:bCs w:val="1"/>
          <w:sz w:val="24"/>
          <w:szCs w:val="24"/>
          <w:rtl w:val="0"/>
          <w:lang w:val="it-IT"/>
          <w14:textOutline w14:w="12700" w14:cap="flat">
            <w14:noFill/>
            <w14:miter w14:lim="400000"/>
          </w14:textOutline>
        </w:rPr>
        <w:t>Unit</w:t>
      </w:r>
      <w:r>
        <w:rPr>
          <w:rStyle w:val="Nessuno"/>
          <w:rFonts w:ascii="Calibri" w:hAnsi="Calibri" w:hint="default"/>
          <w:b w:val="1"/>
          <w:bCs w:val="1"/>
          <w:sz w:val="24"/>
          <w:szCs w:val="24"/>
          <w:rtl w:val="0"/>
          <w:lang w:val="it-IT"/>
          <w14:textOutline w14:w="12700" w14:cap="flat">
            <w14:noFill/>
            <w14:miter w14:lim="400000"/>
          </w14:textOutline>
        </w:rPr>
        <w:t xml:space="preserve">à </w:t>
      </w:r>
      <w:r>
        <w:rPr>
          <w:rStyle w:val="Nessuno"/>
          <w:rFonts w:ascii="Calibri" w:hAnsi="Calibri"/>
          <w:b w:val="1"/>
          <w:bCs w:val="1"/>
          <w:sz w:val="24"/>
          <w:szCs w:val="24"/>
          <w:rtl w:val="0"/>
          <w:lang w:val="it-IT"/>
          <w14:textOutline w14:w="12700" w14:cap="flat">
            <w14:noFill/>
            <w14:miter w14:lim="400000"/>
          </w14:textOutline>
        </w:rPr>
        <w:t>da diporto nautico iscritte nei Registri degli Uffici Marittimi Periferici e degli Uffici della Motorizzazione Civile (U.M.C.) al 31/12/2018 e posti barca rilevati al 30/09/2018 - Dati ed indicatori per Regione e Ripartizione Geografica</w:t>
      </w:r>
    </w:p>
    <w:tbl>
      <w:tblPr>
        <w:tblW w:w="962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7"/>
        <w:gridCol w:w="780"/>
        <w:gridCol w:w="792"/>
        <w:gridCol w:w="792"/>
        <w:gridCol w:w="711"/>
        <w:gridCol w:w="866"/>
        <w:gridCol w:w="792"/>
        <w:gridCol w:w="1028"/>
        <w:gridCol w:w="780"/>
        <w:gridCol w:w="780"/>
      </w:tblGrid>
      <w:tr>
        <w:tblPrEx>
          <w:shd w:val="clear" w:color="auto" w:fill="ced7e7"/>
        </w:tblPrEx>
        <w:trPr>
          <w:trHeight w:val="231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hd w:val="nil" w:color="auto" w:fill="auto"/>
                <w:rtl w:val="0"/>
                <w:lang w:val="it-IT"/>
              </w:rPr>
              <w:t>Regione/ Ripartizione Geografica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Unit</w:t>
            </w:r>
            <w:r>
              <w:rPr>
                <w:rStyle w:val="Nessuno"/>
                <w:rFonts w:ascii="Calibri" w:hAnsi="Calibri" w:hint="default"/>
                <w:shd w:val="nil" w:color="auto" w:fill="auto"/>
                <w:rtl w:val="0"/>
                <w:lang w:val="it-IT"/>
              </w:rPr>
              <w:t xml:space="preserve">à </w:t>
            </w:r>
            <w:r>
              <w:rPr>
                <w:rStyle w:val="Nessuno"/>
                <w:rFonts w:ascii="Calibri" w:hAnsi="Calibri"/>
                <w:shd w:val="nil" w:color="auto" w:fill="auto"/>
                <w:rtl w:val="0"/>
                <w:lang w:val="it-IT"/>
              </w:rPr>
              <w:t>iscritte presso U.M.C.</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Unit</w:t>
            </w:r>
            <w:r>
              <w:rPr>
                <w:rStyle w:val="Nessuno"/>
                <w:rFonts w:ascii="Calibri" w:hAnsi="Calibri" w:hint="default"/>
                <w:shd w:val="nil" w:color="auto" w:fill="auto"/>
                <w:rtl w:val="0"/>
                <w:lang w:val="it-IT"/>
              </w:rPr>
              <w:t xml:space="preserve">à </w:t>
            </w:r>
            <w:r>
              <w:rPr>
                <w:rStyle w:val="Nessuno"/>
                <w:rFonts w:ascii="Calibri" w:hAnsi="Calibri"/>
                <w:shd w:val="nil" w:color="auto" w:fill="auto"/>
                <w:rtl w:val="0"/>
                <w:lang w:val="it-IT"/>
              </w:rPr>
              <w:t>iscritte presso Uffici Marittimi</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Totale unit</w:t>
            </w:r>
            <w:r>
              <w:rPr>
                <w:rStyle w:val="Nessuno"/>
                <w:rFonts w:ascii="Calibri" w:hAnsi="Calibri" w:hint="default"/>
                <w:shd w:val="nil" w:color="auto" w:fill="auto"/>
                <w:rtl w:val="0"/>
                <w:lang w:val="it-IT"/>
              </w:rPr>
              <w:t xml:space="preserve">à </w:t>
            </w:r>
            <w:r>
              <w:rPr>
                <w:rStyle w:val="Nessuno"/>
                <w:rFonts w:ascii="Calibri" w:hAnsi="Calibri"/>
                <w:shd w:val="nil" w:color="auto" w:fill="auto"/>
                <w:rtl w:val="0"/>
                <w:lang w:val="it-IT"/>
              </w:rPr>
              <w:t>iscritte presso gli Uffici Marittimi e U.M.C.</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 di unit</w:t>
            </w:r>
            <w:r>
              <w:rPr>
                <w:rStyle w:val="Nessuno"/>
                <w:rFonts w:ascii="Calibri" w:hAnsi="Calibri" w:hint="default"/>
                <w:shd w:val="nil" w:color="auto" w:fill="auto"/>
                <w:rtl w:val="0"/>
                <w:lang w:val="it-IT"/>
              </w:rPr>
              <w:t xml:space="preserve">à </w:t>
            </w:r>
            <w:r>
              <w:rPr>
                <w:rStyle w:val="Nessuno"/>
                <w:rFonts w:ascii="Calibri" w:hAnsi="Calibri"/>
                <w:shd w:val="nil" w:color="auto" w:fill="auto"/>
                <w:rtl w:val="0"/>
                <w:lang w:val="it-IT"/>
              </w:rPr>
              <w:t>iscritte sul totale nazionale</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Posti barca (**)</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 di posti barca sul totale nazionale</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Unit</w:t>
            </w:r>
            <w:r>
              <w:rPr>
                <w:rStyle w:val="Nessuno"/>
                <w:rFonts w:ascii="Calibri" w:hAnsi="Calibri" w:hint="default"/>
                <w:shd w:val="nil" w:color="auto" w:fill="auto"/>
                <w:rtl w:val="0"/>
                <w:lang w:val="it-IT"/>
              </w:rPr>
              <w:t xml:space="preserve">à </w:t>
            </w:r>
            <w:r>
              <w:rPr>
                <w:rStyle w:val="Nessuno"/>
                <w:rFonts w:ascii="Calibri" w:hAnsi="Calibri"/>
                <w:shd w:val="nil" w:color="auto" w:fill="auto"/>
                <w:rtl w:val="0"/>
                <w:lang w:val="it-IT"/>
              </w:rPr>
              <w:t>iscritte per ogni 100 posti barca (indice di affollamento)</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Km di litorale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hd w:val="nil" w:color="auto" w:fill="auto"/>
                <w:rtl w:val="0"/>
                <w:lang w:val="it-IT"/>
              </w:rPr>
              <w:t>Posti barca per km di litorale</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Piemonte e Valle d</w:t>
            </w:r>
            <w:r>
              <w:rPr>
                <w:rStyle w:val="Nessuno"/>
                <w:rFonts w:ascii="Calibri" w:hAnsi="Calibri" w:hint="default"/>
                <w:shd w:val="nil" w:color="auto" w:fill="auto"/>
                <w:rtl w:val="0"/>
                <w:lang w:val="it-IT"/>
              </w:rPr>
              <w:t>’</w:t>
            </w:r>
            <w:r>
              <w:rPr>
                <w:rStyle w:val="Nessuno"/>
                <w:rFonts w:ascii="Calibri" w:hAnsi="Calibri"/>
                <w:shd w:val="nil" w:color="auto" w:fill="auto"/>
                <w:rtl w:val="0"/>
                <w:lang w:val="it-IT"/>
              </w:rPr>
              <w:t>Aosta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3.756</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3.756</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3,9</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Lombardia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6.811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6.811</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Trentino Alto Adige (*)</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63</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0,1</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Veneto</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2.006</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4.421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6.427</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6,6</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6.887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4,3</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93,3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140</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49,2</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b w:val="1"/>
                <w:bCs w:val="1"/>
                <w:shd w:val="nil" w:color="auto" w:fill="auto"/>
                <w:rtl w:val="0"/>
                <w:lang w:val="it-IT"/>
              </w:rPr>
              <w:t>FVG</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12</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3.906</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3.918</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4</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17.001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10,5</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23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94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180,8</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Liguria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75</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18.202</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18.277</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18,9</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25.157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15,6</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72,7</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389</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64,7</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Emilia Romagna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565</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4.045</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4.610</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4,8</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5.360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3,3</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122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43,9</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Italia Settentrionale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13.288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30.574</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43.862</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45,3</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54.405</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33,7</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80,6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745</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73</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Toscana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825</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9.279</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10.104</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10,4</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17.550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10,9</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57,6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561</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31,3</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Umbria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237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237</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0,2</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Marche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158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2.919</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3.077</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3,2</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5.302</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3,3</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58</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188</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28,2</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Lazio</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1.477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8.718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10.195</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10,5</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8.356</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5,2</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122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363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23</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Italia Centrale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2.697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20.916</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23.613</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24,4</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31.208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19,3</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75,7</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1.112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28,1</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Abruzzo</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251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607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858</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0,9</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2.751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1,7</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31,2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138</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19,9</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Molise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67</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0,1</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587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0,4</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11,4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16,3</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Campania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6.093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9.039</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15.132</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15,6</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16.190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93,5</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522</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31</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Puglia e Basilicata Ionica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273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2.793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3.066</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3,2</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13.750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8,5</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22,3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1.015</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13,3</w:t>
            </w:r>
          </w:p>
        </w:tc>
      </w:tr>
      <w:tr>
        <w:tblPrEx>
          <w:shd w:val="clear" w:color="auto" w:fill="ced7e7"/>
        </w:tblPrEx>
        <w:trPr>
          <w:trHeight w:val="49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Calabria e Basilicata Tirrenica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84</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1.034</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1.118</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1,2</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5.490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3,4</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20,4</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796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6,9</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Sardegna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363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3.881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4.244</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4,4</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19.948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12,3</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21,3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1.851</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10,8</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Sicilia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18</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4.777</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4.795</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17.344</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10,7</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27,6</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1.473</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11,8</w:t>
            </w:r>
          </w:p>
        </w:tc>
      </w:tr>
      <w:tr>
        <w:tblPrEx>
          <w:shd w:val="clear" w:color="auto" w:fill="ced7e7"/>
        </w:tblPrEx>
        <w:trPr>
          <w:trHeight w:val="49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shd w:val="nil" w:color="auto" w:fill="auto"/>
                <w:rtl w:val="0"/>
                <w:lang w:val="it-IT"/>
              </w:rPr>
              <w:t>Italia Meridionale e Insulare</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7.089</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22191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29.280</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30,3</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76.060</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47</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38,5</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5.831</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shd w:val="nil" w:color="auto" w:fill="auto"/>
                <w:rtl w:val="0"/>
                <w:lang w:val="it-IT"/>
              </w:rPr>
              <w:t>13</w:t>
            </w:r>
          </w:p>
        </w:tc>
      </w:tr>
      <w:tr>
        <w:tblPrEx>
          <w:shd w:val="clear" w:color="auto" w:fill="ced7e7"/>
        </w:tblPrEx>
        <w:trPr>
          <w:trHeight w:val="236" w:hRule="atLeast"/>
        </w:trPr>
        <w:tc>
          <w:tcPr>
            <w:tcW w:type="dxa" w:w="2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 w:val="left" w:pos="1416"/>
                <w:tab w:val="left" w:pos="2124"/>
              </w:tabs>
              <w:suppressAutoHyphens w:val="0"/>
            </w:pPr>
            <w:r>
              <w:rPr>
                <w:rStyle w:val="Nessuno"/>
                <w:rFonts w:ascii="Calibri" w:hAnsi="Calibri"/>
                <w:b w:val="1"/>
                <w:bCs w:val="1"/>
                <w:shd w:val="nil" w:color="auto" w:fill="auto"/>
                <w:rtl w:val="0"/>
                <w:lang w:val="it-IT"/>
              </w:rPr>
              <w:t>Italia</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23.074</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73.681</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96.755</w:t>
            </w:r>
          </w:p>
        </w:tc>
        <w:tc>
          <w:tcPr>
            <w:tcW w:type="dxa" w:w="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100</w:t>
            </w:r>
          </w:p>
        </w:tc>
        <w:tc>
          <w:tcPr>
            <w:tcW w:type="dxa" w:w="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161.673</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100</w:t>
            </w: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59,8</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7.688</w:t>
            </w:r>
          </w:p>
        </w:tc>
        <w:tc>
          <w:tcPr>
            <w:tcW w:type="dxa" w:w="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tabs>
                <w:tab w:val="left" w:pos="708"/>
              </w:tabs>
              <w:suppressAutoHyphens w:val="0"/>
              <w:jc w:val="right"/>
            </w:pPr>
            <w:r>
              <w:rPr>
                <w:rStyle w:val="Nessuno"/>
                <w:rFonts w:ascii="Calibri" w:hAnsi="Calibri"/>
                <w:b w:val="1"/>
                <w:bCs w:val="1"/>
                <w:shd w:val="nil" w:color="auto" w:fill="auto"/>
                <w:rtl w:val="0"/>
                <w:lang w:val="it-IT"/>
              </w:rPr>
              <w:t>21</w:t>
            </w:r>
          </w:p>
        </w:tc>
      </w:tr>
    </w:tbl>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ind w:left="108" w:hanging="108"/>
        <w:rPr>
          <w:rStyle w:val="Nessuno"/>
          <w:rFonts w:ascii="Calibri" w:cs="Calibri" w:hAnsi="Calibri" w:eastAsia="Calibri"/>
          <w:b w:val="1"/>
          <w:bCs w:val="1"/>
          <w:sz w:val="24"/>
          <w:szCs w:val="24"/>
          <w14:textOutline w14:w="12700" w14:cap="flat">
            <w14:noFill/>
            <w14:miter w14:lim="400000"/>
          </w14:textOutline>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jc w:val="both"/>
        <w:rPr>
          <w:rStyle w:val="Nessuno"/>
          <w:rFonts w:ascii="Calibri" w:cs="Calibri" w:hAnsi="Calibri" w:eastAsia="Calibri"/>
          <w:b w:val="1"/>
          <w:bCs w:val="1"/>
          <w:sz w:val="26"/>
          <w:szCs w:val="26"/>
          <w14:textOutline w14:w="12700" w14:cap="flat">
            <w14:noFill/>
            <w14:miter w14:lim="400000"/>
          </w14:textOutline>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jc w:val="both"/>
        <w:rPr>
          <w:rStyle w:val="Nessuno"/>
          <w:rFonts w:ascii="Calibri" w:cs="Calibri" w:hAnsi="Calibri" w:eastAsia="Calibri"/>
          <w:b w:val="1"/>
          <w:bCs w:val="1"/>
          <w:sz w:val="26"/>
          <w:szCs w:val="26"/>
          <w14:textOutline w14:w="12700" w14:cap="flat">
            <w14:noFill/>
            <w14:miter w14:lim="400000"/>
          </w14:textOutline>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jc w:val="both"/>
        <w:rPr>
          <w:rStyle w:val="Nessuno"/>
          <w:rFonts w:ascii="Calibri" w:cs="Calibri" w:hAnsi="Calibri" w:eastAsia="Calibri"/>
          <w:b w:val="1"/>
          <w:bCs w:val="1"/>
          <w:sz w:val="26"/>
          <w:szCs w:val="26"/>
          <w14:textOutline w14:w="12700" w14:cap="flat">
            <w14:noFill/>
            <w14:miter w14:lim="400000"/>
          </w14:textOutline>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jc w:val="both"/>
        <w:rPr>
          <w:rStyle w:val="Nessuno"/>
          <w:rFonts w:ascii="Calibri" w:cs="Calibri" w:hAnsi="Calibri" w:eastAsia="Calibri"/>
          <w:b w:val="1"/>
          <w:bCs w:val="1"/>
          <w:sz w:val="24"/>
          <w:szCs w:val="24"/>
          <w14:textOutline w14:w="12700" w14:cap="flat">
            <w14:noFill/>
            <w14:miter w14:lim="400000"/>
          </w14:textOutline>
        </w:rPr>
      </w:pPr>
      <w:r>
        <w:rPr>
          <w:rStyle w:val="Nessuno"/>
          <w:rFonts w:ascii="Calibri" w:hAnsi="Calibri"/>
          <w:b w:val="1"/>
          <w:bCs w:val="1"/>
          <w:sz w:val="24"/>
          <w:szCs w:val="24"/>
          <w:rtl w:val="0"/>
          <w:lang w:val="it-IT"/>
          <w14:textOutline w14:w="12700" w14:cap="flat">
            <w14:noFill/>
            <w14:miter w14:lim="400000"/>
          </w14:textOutline>
        </w:rPr>
        <w:t>Numero di posti barca per comune del FVG, tipologia di struttura e capitaneria di porto al 30/09/2018</w:t>
      </w:r>
    </w:p>
    <w:tbl>
      <w:tblPr>
        <w:tblW w:w="962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15"/>
        <w:gridCol w:w="1129"/>
        <w:gridCol w:w="1128"/>
        <w:gridCol w:w="1128"/>
        <w:gridCol w:w="1128"/>
        <w:gridCol w:w="1166"/>
        <w:gridCol w:w="1433"/>
      </w:tblGrid>
      <w:tr>
        <w:tblPrEx>
          <w:shd w:val="clear" w:color="auto" w:fill="ced7e7"/>
        </w:tblPrEx>
        <w:trPr>
          <w:trHeight w:val="1050" w:hRule="atLeast"/>
        </w:trPr>
        <w:tc>
          <w:tcPr>
            <w:tcW w:type="dxa" w:w="251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Comune</w:t>
            </w:r>
          </w:p>
        </w:tc>
        <w:tc>
          <w:tcPr>
            <w:tcW w:type="dxa" w:w="112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Provincia</w:t>
            </w:r>
          </w:p>
        </w:tc>
        <w:tc>
          <w:tcPr>
            <w:tcW w:type="dxa" w:w="11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Numero posti barca totali</w:t>
            </w:r>
          </w:p>
        </w:tc>
        <w:tc>
          <w:tcPr>
            <w:tcW w:type="dxa" w:w="34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 w:val="left" w:pos="2832"/>
              </w:tabs>
              <w:suppressAutoHyphens w:val="0"/>
              <w:jc w:val="center"/>
            </w:pPr>
            <w:r>
              <w:rPr>
                <w:rStyle w:val="Nessuno"/>
                <w:rFonts w:ascii="Calibri" w:hAnsi="Calibri"/>
                <w:sz w:val="22"/>
                <w:szCs w:val="22"/>
                <w:shd w:val="nil" w:color="auto" w:fill="auto"/>
                <w:rtl w:val="0"/>
                <w:lang w:val="it-IT"/>
              </w:rPr>
              <w:t>di cui, situati in</w:t>
            </w:r>
          </w:p>
        </w:tc>
        <w:tc>
          <w:tcPr>
            <w:tcW w:type="dxa" w:w="143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Capitaneria di Porto</w:t>
            </w:r>
          </w:p>
        </w:tc>
      </w:tr>
      <w:tr>
        <w:tblPrEx>
          <w:shd w:val="clear" w:color="auto" w:fill="ced7e7"/>
        </w:tblPrEx>
        <w:trPr>
          <w:trHeight w:val="491" w:hRule="atLeast"/>
        </w:trPr>
        <w:tc>
          <w:tcPr>
            <w:tcW w:type="dxa" w:w="251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2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Porto turistico</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Approdo turistico</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Punto di ormeggio</w:t>
            </w:r>
          </w:p>
        </w:tc>
        <w:tc>
          <w:tcPr>
            <w:tcW w:type="dxa" w:w="143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Aquileia</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284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284</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Grado</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GO</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727</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727</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Lignano Sabbiadoro</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1.662</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643</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1.019</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Marano Lagunare</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1.974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1.974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Latisana</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682</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682</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Monfalcone</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GO</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2.774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520</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2.254</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Palazzolo dello Stella</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84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84</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San Giorgio di Nogaro</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UD</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711</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711</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Monfalcone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Duino Aurisina</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TS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1.886</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1.569</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317</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Trieste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Muggia</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TS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2.056</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1.130</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355</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571</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Trieste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sz w:val="22"/>
                <w:szCs w:val="22"/>
                <w:shd w:val="nil" w:color="auto" w:fill="auto"/>
                <w:rtl w:val="0"/>
                <w:lang w:val="it-IT"/>
              </w:rPr>
              <w:t>Trieste</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center"/>
            </w:pPr>
            <w:r>
              <w:rPr>
                <w:rStyle w:val="Nessuno"/>
                <w:rFonts w:ascii="Calibri" w:hAnsi="Calibri"/>
                <w:sz w:val="22"/>
                <w:szCs w:val="22"/>
                <w:shd w:val="nil" w:color="auto" w:fill="auto"/>
                <w:rtl w:val="0"/>
                <w:lang w:val="it-IT"/>
              </w:rPr>
              <w:t>TS</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4.161</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439</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1.557</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sz w:val="22"/>
                <w:szCs w:val="22"/>
                <w:shd w:val="nil" w:color="auto" w:fill="auto"/>
                <w:rtl w:val="0"/>
                <w:lang w:val="it-IT"/>
              </w:rPr>
              <w:t>2.165</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s>
              <w:suppressAutoHyphens w:val="0"/>
              <w:jc w:val="center"/>
            </w:pPr>
            <w:r>
              <w:rPr>
                <w:rStyle w:val="Nessuno"/>
                <w:rFonts w:ascii="Calibri" w:hAnsi="Calibri"/>
                <w:sz w:val="22"/>
                <w:szCs w:val="22"/>
                <w:shd w:val="nil" w:color="auto" w:fill="auto"/>
                <w:rtl w:val="0"/>
                <w:lang w:val="it-IT"/>
              </w:rPr>
              <w:t>Trieste</w:t>
            </w:r>
          </w:p>
        </w:tc>
      </w:tr>
      <w:tr>
        <w:tblPrEx>
          <w:shd w:val="clear" w:color="auto" w:fill="ced7e7"/>
        </w:tblPrEx>
        <w:trPr>
          <w:trHeight w:val="231" w:hRule="atLeast"/>
        </w:trPr>
        <w:tc>
          <w:tcPr>
            <w:tcW w:type="dxa" w:w="2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 w:val="left" w:pos="1416"/>
                <w:tab w:val="left" w:pos="2124"/>
              </w:tabs>
              <w:suppressAutoHyphens w:val="0"/>
            </w:pPr>
            <w:r>
              <w:rPr>
                <w:rStyle w:val="Nessuno"/>
                <w:rFonts w:ascii="Calibri" w:hAnsi="Calibri"/>
                <w:b w:val="1"/>
                <w:bCs w:val="1"/>
                <w:sz w:val="22"/>
                <w:szCs w:val="22"/>
                <w:shd w:val="nil" w:color="auto" w:fill="auto"/>
                <w:rtl w:val="0"/>
                <w:lang w:val="it-IT"/>
              </w:rPr>
              <w:t xml:space="preserve">Totale </w:t>
            </w:r>
          </w:p>
        </w:tc>
        <w:tc>
          <w:tcPr>
            <w:tcW w:type="dxa" w:w="11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b w:val="1"/>
                <w:bCs w:val="1"/>
                <w:sz w:val="22"/>
                <w:szCs w:val="22"/>
                <w:shd w:val="nil" w:color="auto" w:fill="auto"/>
                <w:rtl w:val="0"/>
                <w:lang w:val="it-IT"/>
              </w:rPr>
              <w:t>17.001</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b w:val="1"/>
                <w:bCs w:val="1"/>
                <w:sz w:val="22"/>
                <w:szCs w:val="22"/>
                <w:shd w:val="nil" w:color="auto" w:fill="auto"/>
                <w:rtl w:val="0"/>
                <w:lang w:val="it-IT"/>
              </w:rPr>
              <w:t>6.183</w:t>
            </w:r>
          </w:p>
        </w:tc>
        <w:tc>
          <w:tcPr>
            <w:tcW w:type="dxa" w:w="1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b w:val="1"/>
                <w:bCs w:val="1"/>
                <w:sz w:val="22"/>
                <w:szCs w:val="22"/>
                <w:shd w:val="nil" w:color="auto" w:fill="auto"/>
                <w:rtl w:val="0"/>
                <w:lang w:val="it-IT"/>
              </w:rPr>
              <w:t>5.511</w:t>
            </w:r>
          </w:p>
        </w:tc>
        <w:tc>
          <w:tcPr>
            <w:tcW w:type="dxa" w:w="1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tabs>
                <w:tab w:val="left" w:pos="708"/>
              </w:tabs>
              <w:suppressAutoHyphens w:val="0"/>
              <w:jc w:val="right"/>
            </w:pPr>
            <w:r>
              <w:rPr>
                <w:rStyle w:val="Nessuno"/>
                <w:rFonts w:ascii="Calibri" w:hAnsi="Calibri"/>
                <w:b w:val="1"/>
                <w:bCs w:val="1"/>
                <w:sz w:val="22"/>
                <w:szCs w:val="22"/>
                <w:shd w:val="nil" w:color="auto" w:fill="auto"/>
                <w:rtl w:val="0"/>
                <w:lang w:val="it-IT"/>
              </w:rPr>
              <w:t>5.307</w:t>
            </w:r>
          </w:p>
        </w:tc>
        <w:tc>
          <w:tcPr>
            <w:tcW w:type="dxa" w:w="1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ind w:left="108" w:hanging="108"/>
        <w:jc w:val="center"/>
        <w:rPr>
          <w:rStyle w:val="Nessuno"/>
          <w:rFonts w:ascii="Calibri" w:cs="Calibri" w:hAnsi="Calibri" w:eastAsia="Calibri"/>
          <w:b w:val="1"/>
          <w:bCs w:val="1"/>
          <w:sz w:val="24"/>
          <w:szCs w:val="24"/>
          <w14:textOutline w14:w="12700" w14:cap="flat">
            <w14:noFill/>
            <w14:miter w14:lim="400000"/>
          </w14:textOutline>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jc w:val="center"/>
        <w:rPr>
          <w:rStyle w:val="Nessuno"/>
          <w:rFonts w:ascii="Calibri" w:cs="Calibri" w:hAnsi="Calibri" w:eastAsia="Calibri"/>
          <w:b w:val="1"/>
          <w:bCs w:val="1"/>
          <w:sz w:val="24"/>
          <w:szCs w:val="24"/>
          <w14:textOutline w14:w="12700" w14:cap="flat">
            <w14:noFill/>
            <w14:miter w14:lim="400000"/>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61"/>
        </w:tabs>
        <w:suppressAutoHyphens w:val="0"/>
        <w:spacing w:after="160" w:line="259" w:lineRule="auto"/>
        <w:jc w:val="both"/>
      </w:pPr>
      <w:r>
        <w:rPr>
          <w:rStyle w:val="Nessuno"/>
          <w:rFonts w:ascii="Calibri" w:hAnsi="Calibri"/>
          <w:rtl w:val="0"/>
          <w:lang w:val="it-IT"/>
          <w14:textOutline w14:w="12700" w14:cap="flat">
            <w14:noFill/>
            <w14:miter w14:lim="400000"/>
          </w14:textOutline>
        </w:rPr>
        <w:t>Fonte: Il Diporto Nautico in Italia - Anno 2018, PAGG 80-81 - Ministero delle Infrastrutture e dei Trasporti, Capitanerie di Porto, Autorit</w:t>
      </w:r>
      <w:r>
        <w:rPr>
          <w:rStyle w:val="Nessuno"/>
          <w:rFonts w:ascii="Calibri" w:hAnsi="Calibri" w:hint="default"/>
          <w:rtl w:val="0"/>
          <w:lang w:val="it-IT"/>
          <w14:textOutline w14:w="12700" w14:cap="flat">
            <w14:noFill/>
            <w14:miter w14:lim="400000"/>
          </w14:textOutline>
        </w:rPr>
        <w:t xml:space="preserve">à </w:t>
      </w:r>
      <w:r>
        <w:rPr>
          <w:rStyle w:val="Nessuno"/>
          <w:rFonts w:ascii="Calibri" w:hAnsi="Calibri"/>
          <w:rtl w:val="0"/>
          <w:lang w:val="it-IT"/>
          <w14:textOutline w14:w="12700" w14:cap="flat">
            <w14:noFill/>
            <w14:miter w14:lim="400000"/>
          </w14:textOutline>
        </w:rPr>
        <w:t>Portuali, U.M.C.</w:t>
      </w:r>
    </w:p>
    <w:sectPr>
      <w:headerReference w:type="default" r:id="rId6"/>
      <w:footerReference w:type="default" r:id="rId7"/>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40" cy="439437"/>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40" cy="439437"/>
                        <a:chOff x="-1" y="-1"/>
                        <a:chExt cx="5619139" cy="439436"/>
                      </a:xfrm>
                    </wpg:grpSpPr>
                    <wps:wsp>
                      <wps:cNvPr id="1073741826" name="Shape 1073741826"/>
                      <wps:cNvSpPr/>
                      <wps:spPr>
                        <a:xfrm>
                          <a:off x="-2" y="-2"/>
                          <a:ext cx="5619139" cy="429911"/>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6"/>
                          <a:ext cx="5619137" cy="429910"/>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40,439437">
              <w10:wrap type="none" side="bothSides" anchorx="page" anchory="page"/>
              <v:rect id="_x0000_s1027" style="position:absolute;left:-1;top:-1;width:5619137;height:429909;">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6;height:429910;">
                <v:imagedata r:id="rId1" o:title="image1.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venir Book" w:cs="Avenir Book" w:hAnsi="Avenir Book" w:eastAsia="Avenir Book"/>
      <w:outline w:val="0"/>
      <w:color w:val="0563c1"/>
      <w:sz w:val="22"/>
      <w:szCs w:val="22"/>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000000"/>
                </a:solidFill>
                <a:latin typeface="Calibri"/>
              </a:defRPr>
            </a:pPr>
            <a:r>
              <a:rPr b="0" i="0" strike="noStrike" sz="1400" u="none">
                <a:solidFill>
                  <a:srgbClr val="000000"/>
                </a:solidFill>
                <a:latin typeface="Calibri"/>
              </a:rPr>
              <a:t>Serie storica 1998-2018 delle unità da diporto in FVG e Italia
Fonte: Ufficio Studi Confartigianato-Imprese Udine su dati Ministero delle Infrastrutture e dei Trasporti, Capitanerie di Porto</a:t>
            </a:r>
          </a:p>
        </c:rich>
      </c:tx>
      <c:layout>
        <c:manualLayout>
          <c:xMode val="edge"/>
          <c:yMode val="edge"/>
          <c:x val="0"/>
          <c:y val="0"/>
          <c:w val="1"/>
          <c:h val="0.220406"/>
        </c:manualLayout>
      </c:layout>
      <c:overlay val="1"/>
      <c:spPr>
        <a:noFill/>
        <a:effectLst/>
      </c:spPr>
    </c:title>
    <c:autoTitleDeleted val="1"/>
    <c:plotArea>
      <c:layout>
        <c:manualLayout>
          <c:layoutTarget val="inner"/>
          <c:xMode val="edge"/>
          <c:yMode val="edge"/>
          <c:x val="0.0659582"/>
          <c:y val="0.220406"/>
          <c:w val="0.858425"/>
          <c:h val="0.621222"/>
        </c:manualLayout>
      </c:layout>
      <c:lineChart>
        <c:grouping val="standard"/>
        <c:varyColors val="0"/>
        <c:ser>
          <c:idx val="0"/>
          <c:order val="0"/>
          <c:tx>
            <c:strRef>
              <c:f>Sheet1!$A$2</c:f>
              <c:strCache>
                <c:ptCount val="1"/>
                <c:pt idx="0">
                  <c:v>FVG (scala sx)</c:v>
                </c:pt>
              </c:strCache>
            </c:strRef>
          </c:tx>
          <c:spPr>
            <a:solidFill>
              <a:srgbClr val="5B9BD5"/>
            </a:solidFill>
            <a:ln w="28575" cap="rnd">
              <a:solidFill>
                <a:srgbClr val="5B9BD5"/>
              </a:solidFill>
              <a:prstDash val="solid"/>
              <a:round/>
            </a:ln>
            <a:effectLst/>
          </c:spPr>
          <c:marker>
            <c:symbol val="circle"/>
            <c:size val="3"/>
            <c:spPr>
              <a:solidFill>
                <a:srgbClr val="5B9BD5"/>
              </a:solidFill>
              <a:ln w="9525" cap="flat">
                <a:solidFill>
                  <a:srgbClr val="5B9BD5"/>
                </a:solidFill>
                <a:prstDash val="solid"/>
                <a:miter lim="800000"/>
              </a:ln>
              <a:effectLst/>
            </c:spPr>
          </c:marker>
          <c:dLbls>
            <c:numFmt formatCode="0" sourceLinked="0"/>
            <c:txPr>
              <a:bodyPr/>
              <a:lstStyle/>
              <a:p>
                <a:pPr>
                  <a:defRPr b="1" i="0" strike="noStrike" sz="700" u="none">
                    <a:solidFill>
                      <a:srgbClr val="5B9BD5"/>
                    </a:solidFill>
                    <a:latin typeface="Calibri"/>
                  </a:defRPr>
                </a:pPr>
              </a:p>
            </c:txPr>
            <c:dLblPos val="t"/>
            <c:showLegendKey val="0"/>
            <c:showVal val="1"/>
            <c:showCatName val="0"/>
            <c:showSerName val="0"/>
            <c:showPercent val="0"/>
            <c:showBubbleSize val="0"/>
            <c:showLeaderLines val="0"/>
          </c:dLbls>
          <c:cat>
            <c:strRef>
              <c:f>Sheet1!$B$1:$V$1</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Sheet1!$B$2:$V$2</c:f>
              <c:numCache>
                <c:ptCount val="21"/>
                <c:pt idx="0">
                  <c:v>3389.000000</c:v>
                </c:pt>
                <c:pt idx="1">
                  <c:v>3264.000000</c:v>
                </c:pt>
                <c:pt idx="2">
                  <c:v>3165.000000</c:v>
                </c:pt>
                <c:pt idx="3">
                  <c:v>3142.000000</c:v>
                </c:pt>
                <c:pt idx="4">
                  <c:v>3061.000000</c:v>
                </c:pt>
                <c:pt idx="5">
                  <c:v>3120.000000</c:v>
                </c:pt>
                <c:pt idx="6">
                  <c:v>3108.000000</c:v>
                </c:pt>
                <c:pt idx="7">
                  <c:v>3292.000000</c:v>
                </c:pt>
                <c:pt idx="8">
                  <c:v>3609.000000</c:v>
                </c:pt>
                <c:pt idx="9">
                  <c:v>3901.000000</c:v>
                </c:pt>
                <c:pt idx="10">
                  <c:v>4186.000000</c:v>
                </c:pt>
                <c:pt idx="11">
                  <c:v>4395.000000</c:v>
                </c:pt>
                <c:pt idx="12">
                  <c:v>4573.000000</c:v>
                </c:pt>
                <c:pt idx="13">
                  <c:v>4676.000000</c:v>
                </c:pt>
                <c:pt idx="14">
                  <c:v>4606.000000</c:v>
                </c:pt>
                <c:pt idx="15">
                  <c:v>4510.000000</c:v>
                </c:pt>
                <c:pt idx="16">
                  <c:v>4399.000000</c:v>
                </c:pt>
                <c:pt idx="17">
                  <c:v>4262.000000</c:v>
                </c:pt>
                <c:pt idx="18">
                  <c:v>4113.000000</c:v>
                </c:pt>
                <c:pt idx="19">
                  <c:v>3998.000000</c:v>
                </c:pt>
                <c:pt idx="20">
                  <c:v>3906.000000</c:v>
                </c:pt>
              </c:numCache>
            </c:numRef>
          </c:val>
          <c:smooth val="0"/>
        </c:ser>
        <c:marker val="1"/>
        <c:axId val="2094734552"/>
        <c:axId val="2094734553"/>
      </c:lineChart>
      <c:lineChart>
        <c:grouping val="standard"/>
        <c:varyColors val="0"/>
        <c:ser>
          <c:idx val="1"/>
          <c:order val="1"/>
          <c:tx>
            <c:strRef>
              <c:f>Sheet1!$A$3</c:f>
              <c:strCache>
                <c:ptCount val="1"/>
                <c:pt idx="0">
                  <c:v>Italia (scala dx)</c:v>
                </c:pt>
              </c:strCache>
            </c:strRef>
          </c:tx>
          <c:spPr>
            <a:solidFill>
              <a:srgbClr val="ED7D31"/>
            </a:solidFill>
            <a:ln w="28575" cap="rnd">
              <a:solidFill>
                <a:srgbClr val="ED7D31"/>
              </a:solidFill>
              <a:prstDash val="solid"/>
              <a:round/>
            </a:ln>
            <a:effectLst/>
          </c:spPr>
          <c:marker>
            <c:symbol val="circle"/>
            <c:size val="3"/>
            <c:spPr>
              <a:solidFill>
                <a:srgbClr val="ED7D31"/>
              </a:solidFill>
              <a:ln w="9525" cap="flat">
                <a:solidFill>
                  <a:srgbClr val="ED7D31"/>
                </a:solidFill>
                <a:prstDash val="solid"/>
                <a:miter lim="800000"/>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Sheet1!$B$1:$V$1</c:f>
              <c:strCach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strCache>
            </c:strRef>
          </c:cat>
          <c:val>
            <c:numRef>
              <c:f>Sheet1!$B$3:$V$3</c:f>
              <c:numCache>
                <c:ptCount val="21"/>
                <c:pt idx="0">
                  <c:v>70531.000000</c:v>
                </c:pt>
                <c:pt idx="1">
                  <c:v>69166.000000</c:v>
                </c:pt>
                <c:pt idx="2">
                  <c:v>69596.000000</c:v>
                </c:pt>
                <c:pt idx="3">
                  <c:v>69246.000000</c:v>
                </c:pt>
                <c:pt idx="4">
                  <c:v>69995.000000</c:v>
                </c:pt>
                <c:pt idx="5">
                  <c:v>70791.000000</c:v>
                </c:pt>
                <c:pt idx="6">
                  <c:v>71440.000000</c:v>
                </c:pt>
                <c:pt idx="7">
                  <c:v>73415.000000</c:v>
                </c:pt>
                <c:pt idx="8">
                  <c:v>75366.000000</c:v>
                </c:pt>
                <c:pt idx="9">
                  <c:v>77405.000000</c:v>
                </c:pt>
                <c:pt idx="10">
                  <c:v>80286.000000</c:v>
                </c:pt>
                <c:pt idx="11">
                  <c:v>81430.000000</c:v>
                </c:pt>
                <c:pt idx="12">
                  <c:v>82870.000000</c:v>
                </c:pt>
                <c:pt idx="13">
                  <c:v>82953.000000</c:v>
                </c:pt>
                <c:pt idx="14">
                  <c:v>81369.000000</c:v>
                </c:pt>
                <c:pt idx="15">
                  <c:v>80046.000000</c:v>
                </c:pt>
                <c:pt idx="16">
                  <c:v>78741.000000</c:v>
                </c:pt>
                <c:pt idx="17">
                  <c:v>77210.000000</c:v>
                </c:pt>
                <c:pt idx="18">
                  <c:v>75413.000000</c:v>
                </c:pt>
                <c:pt idx="19">
                  <c:v>74610.000000</c:v>
                </c:pt>
                <c:pt idx="20">
                  <c:v>73681.000000</c:v>
                </c:pt>
              </c:numCache>
            </c:numRef>
          </c:val>
          <c:smooth val="0"/>
        </c:ser>
        <c:marker val="1"/>
        <c:axId val="2094734555"/>
        <c:axId val="2094734556"/>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540000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b="1" i="0" strike="noStrike" sz="900" u="none">
                <a:solidFill>
                  <a:srgbClr val="5B9BD5"/>
                </a:solidFill>
                <a:latin typeface="Calibri"/>
              </a:defRPr>
            </a:pPr>
          </a:p>
        </c:txPr>
        <c:crossAx val="2094734552"/>
        <c:crosses val="autoZero"/>
        <c:crossBetween val="between"/>
        <c:majorUnit val="1200"/>
        <c:minorUnit val="600"/>
      </c:valAx>
      <c:catAx>
        <c:axId val="2094734555"/>
        <c:scaling>
          <c:orientation val="minMax"/>
        </c:scaling>
        <c:delete val="0"/>
        <c:axPos val="b"/>
        <c:majorTickMark val="out"/>
        <c:minorTickMark val="none"/>
        <c:tickLblPos val="none"/>
        <c:spPr>
          <a:ln w="12700" cap="flat">
            <a:noFill/>
            <a:prstDash val="solid"/>
            <a:round/>
          </a:ln>
        </c:spPr>
        <c:crossAx val="2094734556"/>
        <c:crosses val="autoZero"/>
        <c:auto val="1"/>
        <c:lblAlgn val="ctr"/>
        <c:noMultiLvlLbl val="1"/>
      </c:catAx>
      <c:valAx>
        <c:axId val="2094734556"/>
        <c:scaling>
          <c:orientation val="minMax"/>
        </c:scaling>
        <c:delete val="0"/>
        <c:axPos val="r"/>
        <c:numFmt formatCode="#,##0" sourceLinked="0"/>
        <c:majorTickMark val="none"/>
        <c:minorTickMark val="none"/>
        <c:tickLblPos val="nextTo"/>
        <c:spPr>
          <a:ln w="12700" cap="flat">
            <a:noFill/>
            <a:prstDash val="solid"/>
            <a:round/>
          </a:ln>
        </c:spPr>
        <c:txPr>
          <a:bodyPr rot="0"/>
          <a:lstStyle/>
          <a:p>
            <a:pPr>
              <a:defRPr b="1" i="0" strike="noStrike" sz="900" u="none">
                <a:solidFill>
                  <a:srgbClr val="ED7D31"/>
                </a:solidFill>
                <a:latin typeface="Calibri"/>
              </a:defRPr>
            </a:pPr>
          </a:p>
        </c:txPr>
        <c:crossAx val="2094734555"/>
        <c:crosses val="max"/>
        <c:crossBetween val="between"/>
        <c:majorUnit val="7500"/>
        <c:minorUnit val="3750"/>
      </c:valAx>
      <c:spPr>
        <a:noFill/>
        <a:ln w="12700" cap="flat">
          <a:noFill/>
          <a:miter lim="400000"/>
        </a:ln>
        <a:effectLst/>
      </c:spPr>
    </c:plotArea>
    <c:legend>
      <c:legendPos val="b"/>
      <c:layout>
        <c:manualLayout>
          <c:xMode val="edge"/>
          <c:yMode val="edge"/>
          <c:x val="0.31125"/>
          <c:y val="0.954347"/>
          <c:w val="0.3775"/>
          <c:h val="0.0456532"/>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000000"/>
                </a:solidFill>
                <a:latin typeface="Calibri"/>
              </a:defRPr>
            </a:pPr>
            <a:r>
              <a:rPr b="0" i="0" strike="noStrike" sz="1400" u="none">
                <a:solidFill>
                  <a:srgbClr val="000000"/>
                </a:solidFill>
                <a:latin typeface="Calibri"/>
              </a:rPr>
              <a:t>Serie storica 2006-2018 dei numeri di posti barca in FVG e Italia
Fonte: Ufficio Studi Confartigianato-Imprese Udine su dati Ministero delle Infrastrutture e dei Trasporti, Capitanerie di Porto</a:t>
            </a:r>
          </a:p>
        </c:rich>
      </c:tx>
      <c:layout>
        <c:manualLayout>
          <c:xMode val="edge"/>
          <c:yMode val="edge"/>
          <c:x val="0"/>
          <c:y val="0"/>
          <c:w val="1"/>
          <c:h val="0.220406"/>
        </c:manualLayout>
      </c:layout>
      <c:overlay val="1"/>
      <c:spPr>
        <a:noFill/>
        <a:effectLst/>
      </c:spPr>
    </c:title>
    <c:autoTitleDeleted val="1"/>
    <c:plotArea>
      <c:layout>
        <c:manualLayout>
          <c:layoutTarget val="inner"/>
          <c:xMode val="edge"/>
          <c:yMode val="edge"/>
          <c:x val="0.075617"/>
          <c:y val="0.220406"/>
          <c:w val="0.839107"/>
          <c:h val="0.621222"/>
        </c:manualLayout>
      </c:layout>
      <c:lineChart>
        <c:grouping val="standard"/>
        <c:varyColors val="0"/>
        <c:ser>
          <c:idx val="0"/>
          <c:order val="0"/>
          <c:tx>
            <c:strRef>
              <c:f>Sheet1!$A$2</c:f>
              <c:strCache>
                <c:ptCount val="1"/>
                <c:pt idx="0">
                  <c:v>FVG (scala sx)</c:v>
                </c:pt>
              </c:strCache>
            </c:strRef>
          </c:tx>
          <c:spPr>
            <a:solidFill>
              <a:srgbClr val="5B9BD5"/>
            </a:solidFill>
            <a:ln w="28575" cap="rnd">
              <a:solidFill>
                <a:srgbClr val="5B9BD5"/>
              </a:solidFill>
              <a:prstDash val="solid"/>
              <a:round/>
            </a:ln>
            <a:effectLst/>
          </c:spPr>
          <c:marker>
            <c:symbol val="circle"/>
            <c:size val="3"/>
            <c:spPr>
              <a:solidFill>
                <a:srgbClr val="5B9BD5"/>
              </a:solidFill>
              <a:ln w="9525" cap="flat">
                <a:solidFill>
                  <a:srgbClr val="5B9BD5"/>
                </a:solidFill>
                <a:prstDash val="solid"/>
                <a:miter lim="800000"/>
              </a:ln>
              <a:effectLst/>
            </c:spPr>
          </c:marker>
          <c:dLbls>
            <c:numFmt formatCode="0" sourceLinked="0"/>
            <c:txPr>
              <a:bodyPr/>
              <a:lstStyle/>
              <a:p>
                <a:pPr>
                  <a:defRPr b="1" i="0" strike="noStrike" sz="700" u="none">
                    <a:solidFill>
                      <a:srgbClr val="5B9BD5"/>
                    </a:solidFill>
                    <a:latin typeface="Calibri"/>
                  </a:defRPr>
                </a:pPr>
              </a:p>
            </c:txPr>
            <c:dLblPos val="t"/>
            <c:showLegendKey val="0"/>
            <c:showVal val="1"/>
            <c:showCatName val="0"/>
            <c:showSerName val="0"/>
            <c:showPercent val="0"/>
            <c:showBubbleSize val="0"/>
            <c:showLeaderLines val="0"/>
          </c:dLbls>
          <c:cat>
            <c:strRef>
              <c:f>Sheet1!$B$1:$N$1</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Sheet1!$B$2:$N$2</c:f>
              <c:numCache>
                <c:ptCount val="13"/>
                <c:pt idx="0">
                  <c:v>15969.000000</c:v>
                </c:pt>
                <c:pt idx="1">
                  <c:v>13031.000000</c:v>
                </c:pt>
                <c:pt idx="2">
                  <c:v>11197.000000</c:v>
                </c:pt>
                <c:pt idx="3">
                  <c:v>13629.000000</c:v>
                </c:pt>
                <c:pt idx="4">
                  <c:v>15931.000000</c:v>
                </c:pt>
                <c:pt idx="5">
                  <c:v>17480.000000</c:v>
                </c:pt>
                <c:pt idx="6">
                  <c:v>16476.000000</c:v>
                </c:pt>
                <c:pt idx="7">
                  <c:v>15904.000000</c:v>
                </c:pt>
                <c:pt idx="8">
                  <c:v>16436.000000</c:v>
                </c:pt>
                <c:pt idx="9">
                  <c:v>16835.000000</c:v>
                </c:pt>
                <c:pt idx="10">
                  <c:v>16712.000000</c:v>
                </c:pt>
                <c:pt idx="11">
                  <c:v>16609.000000</c:v>
                </c:pt>
                <c:pt idx="12">
                  <c:v>17001.000000</c:v>
                </c:pt>
              </c:numCache>
            </c:numRef>
          </c:val>
          <c:smooth val="0"/>
        </c:ser>
        <c:marker val="1"/>
        <c:axId val="2094734552"/>
        <c:axId val="2094734553"/>
      </c:lineChart>
      <c:lineChart>
        <c:grouping val="standard"/>
        <c:varyColors val="0"/>
        <c:ser>
          <c:idx val="1"/>
          <c:order val="1"/>
          <c:tx>
            <c:strRef>
              <c:f>Sheet1!$A$3</c:f>
              <c:strCache>
                <c:ptCount val="1"/>
                <c:pt idx="0">
                  <c:v>Italia (scala dx)</c:v>
                </c:pt>
              </c:strCache>
            </c:strRef>
          </c:tx>
          <c:spPr>
            <a:solidFill>
              <a:srgbClr val="ED7D31"/>
            </a:solidFill>
            <a:ln w="28575" cap="rnd">
              <a:solidFill>
                <a:srgbClr val="ED7D31"/>
              </a:solidFill>
              <a:prstDash val="solid"/>
              <a:round/>
            </a:ln>
            <a:effectLst/>
          </c:spPr>
          <c:marker>
            <c:symbol val="circle"/>
            <c:size val="3"/>
            <c:spPr>
              <a:solidFill>
                <a:srgbClr val="ED7D31"/>
              </a:solidFill>
              <a:ln w="9525" cap="flat">
                <a:solidFill>
                  <a:srgbClr val="ED7D31"/>
                </a:solidFill>
                <a:prstDash val="solid"/>
                <a:miter lim="800000"/>
              </a:ln>
              <a:effectLst/>
            </c:spPr>
          </c:marker>
          <c:dLbls>
            <c:numFmt formatCode="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Sheet1!$B$1:$N$1</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Sheet1!$B$3:$N$3</c:f>
              <c:numCache>
                <c:ptCount val="13"/>
                <c:pt idx="0">
                  <c:v>141556.000000</c:v>
                </c:pt>
                <c:pt idx="1">
                  <c:v>141476.000000</c:v>
                </c:pt>
                <c:pt idx="2">
                  <c:v>139975.000000</c:v>
                </c:pt>
                <c:pt idx="3">
                  <c:v>146166.000000</c:v>
                </c:pt>
                <c:pt idx="4">
                  <c:v>149605.000000</c:v>
                </c:pt>
                <c:pt idx="5">
                  <c:v>151632.000000</c:v>
                </c:pt>
                <c:pt idx="6">
                  <c:v>148684.000000</c:v>
                </c:pt>
                <c:pt idx="7">
                  <c:v>147804.000000</c:v>
                </c:pt>
                <c:pt idx="8">
                  <c:v>148829.000000</c:v>
                </c:pt>
                <c:pt idx="9">
                  <c:v>157567.000000</c:v>
                </c:pt>
                <c:pt idx="10">
                  <c:v>158088.000000</c:v>
                </c:pt>
                <c:pt idx="11">
                  <c:v>158548.000000</c:v>
                </c:pt>
                <c:pt idx="12">
                  <c:v>161673.000000</c:v>
                </c:pt>
              </c:numCache>
            </c:numRef>
          </c:val>
          <c:smooth val="0"/>
        </c:ser>
        <c:marker val="1"/>
        <c:axId val="2094734555"/>
        <c:axId val="2094734556"/>
      </c:lineChart>
      <c:catAx>
        <c:axId val="2094734552"/>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5400000"/>
          <a:lstStyle/>
          <a:p>
            <a:pPr>
              <a:defRPr b="0" i="0" strike="noStrike" sz="9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b="1" i="0" strike="noStrike" sz="900" u="none">
                <a:solidFill>
                  <a:srgbClr val="5B9BD5"/>
                </a:solidFill>
                <a:latin typeface="Calibri"/>
              </a:defRPr>
            </a:pPr>
          </a:p>
        </c:txPr>
        <c:crossAx val="2094734552"/>
        <c:crosses val="autoZero"/>
        <c:crossBetween val="between"/>
        <c:majorUnit val="4500"/>
        <c:minorUnit val="2250"/>
      </c:valAx>
      <c:catAx>
        <c:axId val="2094734555"/>
        <c:scaling>
          <c:orientation val="minMax"/>
        </c:scaling>
        <c:delete val="0"/>
        <c:axPos val="b"/>
        <c:majorTickMark val="out"/>
        <c:minorTickMark val="none"/>
        <c:tickLblPos val="none"/>
        <c:spPr>
          <a:ln w="12700" cap="flat">
            <a:noFill/>
            <a:prstDash val="solid"/>
            <a:round/>
          </a:ln>
        </c:spPr>
        <c:crossAx val="2094734556"/>
        <c:crosses val="autoZero"/>
        <c:auto val="1"/>
        <c:lblAlgn val="ctr"/>
        <c:noMultiLvlLbl val="1"/>
      </c:catAx>
      <c:valAx>
        <c:axId val="2094734556"/>
        <c:scaling>
          <c:orientation val="minMax"/>
        </c:scaling>
        <c:delete val="0"/>
        <c:axPos val="r"/>
        <c:numFmt formatCode="#,##0" sourceLinked="0"/>
        <c:majorTickMark val="none"/>
        <c:minorTickMark val="none"/>
        <c:tickLblPos val="nextTo"/>
        <c:spPr>
          <a:ln w="12700" cap="flat">
            <a:noFill/>
            <a:prstDash val="solid"/>
            <a:round/>
          </a:ln>
        </c:spPr>
        <c:txPr>
          <a:bodyPr rot="0"/>
          <a:lstStyle/>
          <a:p>
            <a:pPr>
              <a:defRPr b="1" i="0" strike="noStrike" sz="900" u="none">
                <a:solidFill>
                  <a:srgbClr val="ED7D31"/>
                </a:solidFill>
                <a:latin typeface="Calibri"/>
              </a:defRPr>
            </a:pPr>
          </a:p>
        </c:txPr>
        <c:crossAx val="2094734555"/>
        <c:crosses val="max"/>
        <c:crossBetween val="between"/>
        <c:majorUnit val="10000"/>
        <c:minorUnit val="5000"/>
      </c:valAx>
      <c:spPr>
        <a:noFill/>
        <a:ln w="12700" cap="flat">
          <a:noFill/>
          <a:miter lim="400000"/>
        </a:ln>
        <a:effectLst/>
      </c:spPr>
    </c:plotArea>
    <c:legend>
      <c:legendPos val="b"/>
      <c:layout>
        <c:manualLayout>
          <c:xMode val="edge"/>
          <c:yMode val="edge"/>
          <c:x val="0.31125"/>
          <c:y val="0.954347"/>
          <c:w val="0.377501"/>
          <c:h val="0.0456532"/>
        </c:manualLayout>
      </c:layout>
      <c:overlay val="1"/>
      <c:spPr>
        <a:noFill/>
        <a:ln w="12700" cap="flat">
          <a:noFill/>
          <a:miter lim="400000"/>
        </a:ln>
        <a:effectLst/>
      </c:spPr>
      <c:txPr>
        <a:bodyPr rot="0"/>
        <a:lstStyle/>
        <a:p>
          <a:pPr>
            <a:defRPr b="0" i="0" strike="noStrike" sz="900" u="none">
              <a:solidFill>
                <a:srgbClr val="000000"/>
              </a:solidFill>
              <a:latin typeface="Calibri"/>
            </a:defRPr>
          </a:pPr>
        </a:p>
      </c:txPr>
    </c:legend>
    <c:plotVisOnly val="1"/>
    <c:dispBlanksAs val="gap"/>
  </c:chart>
  <c:spPr>
    <a:solidFill>
      <a:srgbClr val="FFFFFF"/>
    </a:solid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