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60" w:line="259" w:lineRule="auto"/>
        <w:jc w:val="right"/>
        <w:rPr>
          <w:rFonts w:ascii="Avenir Book" w:cs="Avenir Book" w:hAnsi="Avenir Book" w:eastAsia="Avenir Book"/>
          <w:sz w:val="22"/>
          <w:szCs w:val="22"/>
          <w14:textOutline>
            <w14:noFill/>
          </w14:textOutline>
        </w:rPr>
      </w:pP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>Udine, 29 maggio 2020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60" w:line="259" w:lineRule="auto"/>
        <w:jc w:val="right"/>
        <w:rPr>
          <w:rFonts w:ascii="Avenir Book" w:cs="Avenir Book" w:hAnsi="Avenir Book" w:eastAsia="Avenir Book"/>
          <w:sz w:val="22"/>
          <w:szCs w:val="22"/>
          <w14:textOutline>
            <w14:noFill/>
          </w14:textOutline>
        </w:rPr>
      </w:pPr>
    </w:p>
    <w:p>
      <w:pPr>
        <w:pStyle w:val="Normal.0"/>
        <w:jc w:val="center"/>
        <w:rPr>
          <w:rFonts w:ascii="Avenir Heavy" w:cs="Avenir Heavy" w:hAnsi="Avenir Heavy" w:eastAsia="Avenir Heavy"/>
          <w:sz w:val="28"/>
          <w:szCs w:val="28"/>
        </w:rPr>
      </w:pPr>
      <w:r>
        <w:rPr>
          <w:rFonts w:ascii="Avenir Heavy" w:hAnsi="Avenir Heavy"/>
          <w:sz w:val="28"/>
          <w:szCs w:val="28"/>
          <w:rtl w:val="0"/>
          <w:lang w:val="it-IT"/>
        </w:rPr>
        <w:t>SONDAGGIO FLASH SULL</w:t>
      </w:r>
      <w:r>
        <w:rPr>
          <w:rFonts w:ascii="Avenir Heavy" w:hAnsi="Avenir Heavy" w:hint="default"/>
          <w:sz w:val="28"/>
          <w:szCs w:val="28"/>
          <w:rtl w:val="0"/>
          <w:lang w:val="it-IT"/>
        </w:rPr>
        <w:t>’</w:t>
      </w:r>
      <w:r>
        <w:rPr>
          <w:rFonts w:ascii="Avenir Heavy" w:hAnsi="Avenir Heavy"/>
          <w:sz w:val="28"/>
          <w:szCs w:val="28"/>
          <w:rtl w:val="0"/>
          <w:lang w:val="it-IT"/>
        </w:rPr>
        <w:t xml:space="preserve">AVVIO DELLA FASE DUE </w:t>
      </w:r>
    </w:p>
    <w:p>
      <w:pPr>
        <w:pStyle w:val="Normal.0"/>
        <w:jc w:val="center"/>
        <w:rPr>
          <w:rFonts w:ascii="Avenir Heavy" w:cs="Avenir Heavy" w:hAnsi="Avenir Heavy" w:eastAsia="Avenir Heavy"/>
          <w:sz w:val="28"/>
          <w:szCs w:val="28"/>
        </w:rPr>
      </w:pPr>
      <w:r>
        <w:rPr>
          <w:rFonts w:ascii="Avenir Heavy" w:hAnsi="Avenir Heavy"/>
          <w:sz w:val="28"/>
          <w:szCs w:val="28"/>
          <w:rtl w:val="0"/>
          <w:lang w:val="it-IT"/>
        </w:rPr>
        <w:t>LE IMPRESE ARTIGIANE FRIULANE STIMANO 600 MILIONI DI PERDITE, 1,2 MILIARDI IN FVG</w:t>
      </w:r>
    </w:p>
    <w:p>
      <w:pPr>
        <w:pStyle w:val="Normal.0"/>
        <w:jc w:val="center"/>
        <w:rPr>
          <w:rFonts w:ascii="Avenir Heavy" w:cs="Avenir Heavy" w:hAnsi="Avenir Heavy" w:eastAsia="Avenir Heavy"/>
          <w:sz w:val="28"/>
          <w:szCs w:val="28"/>
        </w:rPr>
      </w:pPr>
    </w:p>
    <w:p>
      <w:pPr>
        <w:pStyle w:val="Normal.0"/>
        <w:jc w:val="center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it-IT"/>
        </w:rPr>
        <w:t xml:space="preserve">LAVORO EXTRA PER I SERVIZI ALLA PERSONA, AL CONTRARIO DI MODA, ARTIGIANATO ARTISTICO, MANIFATTURE E SUBFORNITURE, </w:t>
      </w:r>
    </w:p>
    <w:p>
      <w:pPr>
        <w:pStyle w:val="Normal.0"/>
        <w:jc w:val="center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it-IT"/>
        </w:rPr>
        <w:t xml:space="preserve">AUTORIPARAZIONI E TRASPORTI </w:t>
      </w:r>
    </w:p>
    <w:p>
      <w:pPr>
        <w:pStyle w:val="Normal.0"/>
        <w:jc w:val="center"/>
        <w:rPr>
          <w:rFonts w:ascii="Avenir Heavy" w:cs="Avenir Heavy" w:hAnsi="Avenir Heavy" w:eastAsia="Avenir Heavy"/>
          <w:i w:val="1"/>
          <w:iCs w:val="1"/>
          <w:sz w:val="24"/>
          <w:szCs w:val="24"/>
          <w:u w:val="single"/>
        </w:rPr>
      </w:pPr>
      <w:r>
        <w:rPr>
          <w:rFonts w:ascii="Avenir Heavy" w:hAnsi="Avenir Heavy"/>
          <w:i w:val="1"/>
          <w:iCs w:val="1"/>
          <w:sz w:val="24"/>
          <w:szCs w:val="24"/>
          <w:u w:val="single"/>
          <w:rtl w:val="0"/>
          <w:lang w:val="it-IT"/>
        </w:rPr>
        <w:t xml:space="preserve">TILATTI: </w:t>
      </w:r>
      <w:r>
        <w:rPr>
          <w:rFonts w:ascii="Avenir Heavy" w:hAnsi="Avenir Heavy" w:hint="default"/>
          <w:i w:val="1"/>
          <w:iCs w:val="1"/>
          <w:sz w:val="24"/>
          <w:szCs w:val="24"/>
          <w:u w:val="single"/>
          <w:rtl w:val="0"/>
          <w:lang w:val="it-IT"/>
        </w:rPr>
        <w:t>«</w:t>
      </w:r>
      <w:r>
        <w:rPr>
          <w:rFonts w:ascii="Avenir Heavy" w:hAnsi="Avenir Heavy"/>
          <w:i w:val="1"/>
          <w:iCs w:val="1"/>
          <w:sz w:val="24"/>
          <w:szCs w:val="24"/>
          <w:u w:val="single"/>
          <w:rtl w:val="0"/>
          <w:lang w:val="it-IT"/>
        </w:rPr>
        <w:t>L</w:t>
      </w:r>
      <w:r>
        <w:rPr>
          <w:rFonts w:ascii="Avenir Heavy" w:hAnsi="Avenir Heavy" w:hint="default"/>
          <w:i w:val="1"/>
          <w:iCs w:val="1"/>
          <w:sz w:val="24"/>
          <w:szCs w:val="24"/>
          <w:u w:val="single"/>
          <w:rtl w:val="0"/>
          <w:lang w:val="it-IT"/>
        </w:rPr>
        <w:t>’</w:t>
      </w:r>
      <w:r>
        <w:rPr>
          <w:rFonts w:ascii="Avenir Heavy" w:hAnsi="Avenir Heavy"/>
          <w:i w:val="1"/>
          <w:iCs w:val="1"/>
          <w:sz w:val="24"/>
          <w:szCs w:val="24"/>
          <w:u w:val="single"/>
          <w:rtl w:val="0"/>
          <w:lang w:val="it-IT"/>
        </w:rPr>
        <w:t>EFFETTO DELLA PANDEMIA E</w:t>
      </w:r>
      <w:r>
        <w:rPr>
          <w:rFonts w:ascii="Avenir Heavy" w:hAnsi="Avenir Heavy" w:hint="default"/>
          <w:i w:val="1"/>
          <w:iCs w:val="1"/>
          <w:sz w:val="24"/>
          <w:szCs w:val="24"/>
          <w:u w:val="single"/>
          <w:rtl w:val="0"/>
          <w:lang w:val="it-IT"/>
        </w:rPr>
        <w:t xml:space="preserve">’ </w:t>
      </w:r>
      <w:r>
        <w:rPr>
          <w:rFonts w:ascii="Avenir Heavy" w:hAnsi="Avenir Heavy"/>
          <w:i w:val="1"/>
          <w:iCs w:val="1"/>
          <w:sz w:val="24"/>
          <w:szCs w:val="24"/>
          <w:u w:val="single"/>
          <w:rtl w:val="0"/>
          <w:lang w:val="it-IT"/>
        </w:rPr>
        <w:t>PIU</w:t>
      </w:r>
      <w:r>
        <w:rPr>
          <w:rFonts w:ascii="Avenir Heavy" w:hAnsi="Avenir Heavy" w:hint="default"/>
          <w:i w:val="1"/>
          <w:iCs w:val="1"/>
          <w:sz w:val="24"/>
          <w:szCs w:val="24"/>
          <w:u w:val="single"/>
          <w:rtl w:val="0"/>
          <w:lang w:val="it-IT"/>
        </w:rPr>
        <w:t xml:space="preserve">’ </w:t>
      </w:r>
      <w:r>
        <w:rPr>
          <w:rFonts w:ascii="Avenir Heavy" w:hAnsi="Avenir Heavy"/>
          <w:i w:val="1"/>
          <w:iCs w:val="1"/>
          <w:sz w:val="24"/>
          <w:szCs w:val="24"/>
          <w:u w:val="single"/>
          <w:rtl w:val="0"/>
          <w:lang w:val="it-IT"/>
        </w:rPr>
        <w:t>GRAVE DI QUANTO POTESSIMO ASPETTARCI, ORA BISOGNA RIPENSARE IN FRETTA IL SISTEMA DI SVILUPPO PER TENERE IN VITA LE IMPRESE</w:t>
      </w:r>
      <w:r>
        <w:rPr>
          <w:rFonts w:ascii="Avenir Heavy" w:hAnsi="Avenir Heavy" w:hint="default"/>
          <w:i w:val="1"/>
          <w:iCs w:val="1"/>
          <w:sz w:val="24"/>
          <w:szCs w:val="24"/>
          <w:u w:val="single"/>
          <w:rtl w:val="0"/>
          <w:lang w:val="it-IT"/>
        </w:rPr>
        <w:t>»</w:t>
      </w:r>
    </w:p>
    <w:p>
      <w:pPr>
        <w:pStyle w:val="Normal.0"/>
        <w:jc w:val="center"/>
        <w:rPr>
          <w:rFonts w:ascii="Avenir Heavy" w:cs="Avenir Heavy" w:hAnsi="Avenir Heavy" w:eastAsia="Avenir Heavy"/>
          <w:i w:val="1"/>
          <w:iCs w:val="1"/>
          <w:sz w:val="26"/>
          <w:szCs w:val="26"/>
          <w:u w:val="single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60" w:line="259" w:lineRule="auto"/>
        <w:jc w:val="both"/>
        <w:rPr>
          <w:rFonts w:ascii="Avenir Book" w:cs="Avenir Book" w:hAnsi="Avenir Book" w:eastAsia="Avenir Book"/>
          <w:sz w:val="22"/>
          <w:szCs w:val="22"/>
          <w14:textOutline>
            <w14:noFill/>
          </w14:textOutline>
        </w:rPr>
      </w:pP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>Un miliardo e 200 milioni di euro di perdita a livello regionale, 600 milioni nella sola provincia di Udine. E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>
            <w14:noFill/>
          </w14:textOutline>
        </w:rPr>
        <w:t xml:space="preserve">’ 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 xml:space="preserve">quanto stimano di perdere le imprese artigiane nel 2020 secondo un </w:t>
      </w:r>
      <w:r>
        <w:rPr>
          <w:rFonts w:ascii="Avenir Heavy" w:hAnsi="Avenir Heavy"/>
          <w:sz w:val="22"/>
          <w:szCs w:val="22"/>
          <w:rtl w:val="0"/>
          <w:lang w:val="it-IT"/>
          <w14:textOutline>
            <w14:noFill/>
          </w14:textOutline>
        </w:rPr>
        <w:t>sondaggio online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 xml:space="preserve"> promosso dall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>
            <w14:noFill/>
          </w14:textOutline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 xml:space="preserve">ufficio studi di Confartigianato Udine che ha coinvolto, </w:t>
      </w:r>
      <w:r>
        <w:rPr>
          <w:rFonts w:ascii="Avenir Heavy" w:hAnsi="Avenir Heavy"/>
          <w:sz w:val="22"/>
          <w:szCs w:val="22"/>
          <w:rtl w:val="0"/>
          <w:lang w:val="it-IT"/>
          <w14:textOutline>
            <w14:noFill/>
          </w14:textOutline>
        </w:rPr>
        <w:t>tra il 22 e il 27 maggio, 161 imprese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 xml:space="preserve"> rappresentative di tutti i settori. 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>
            <w14:noFill/>
          </w14:textOutline>
        </w:rPr>
        <w:t>«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 xml:space="preserve">Abbiamo voluto indagare come sta andando la ripresa a una settimana dal via della Fase 2 - spiega il </w:t>
      </w:r>
      <w:r>
        <w:rPr>
          <w:rFonts w:ascii="Avenir Heavy" w:hAnsi="Avenir Heavy"/>
          <w:sz w:val="22"/>
          <w:szCs w:val="22"/>
          <w:rtl w:val="0"/>
          <w:lang w:val="it-IT"/>
          <w14:textOutline>
            <w14:noFill/>
          </w14:textOutline>
        </w:rPr>
        <w:t>presidente di Confartigianato Udine e del Fvg, Graziano Tilatti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 xml:space="preserve"> -. Il dato pi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>
            <w14:noFill/>
          </w14:textOutline>
        </w:rPr>
        <w:t xml:space="preserve">ù 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 xml:space="preserve">preoccupante che emerge da questa fotografia 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>
            <w14:noFill/>
          </w14:textOutline>
        </w:rPr>
        <w:t xml:space="preserve">è 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 xml:space="preserve">quello relativo alla previsione sul fatturato. Stando a quanto dichiarato dalle imprese infatti la </w:t>
      </w:r>
      <w:r>
        <w:rPr>
          <w:rFonts w:ascii="Avenir Heavy" w:hAnsi="Avenir Heavy"/>
          <w:sz w:val="22"/>
          <w:szCs w:val="22"/>
          <w:rtl w:val="0"/>
          <w:lang w:val="it-IT"/>
          <w14:textOutline>
            <w14:noFill/>
          </w14:textOutline>
        </w:rPr>
        <w:t>perdita in termini di volumi d</w:t>
      </w:r>
      <w:r>
        <w:rPr>
          <w:rFonts w:ascii="Avenir Heavy" w:hAnsi="Avenir Heavy" w:hint="default"/>
          <w:sz w:val="22"/>
          <w:szCs w:val="22"/>
          <w:rtl w:val="0"/>
          <w:lang w:val="it-IT"/>
          <w14:textOutline>
            <w14:noFill/>
          </w14:textOutline>
        </w:rPr>
        <w:t>’</w:t>
      </w:r>
      <w:r>
        <w:rPr>
          <w:rFonts w:ascii="Avenir Heavy" w:hAnsi="Avenir Heavy"/>
          <w:sz w:val="22"/>
          <w:szCs w:val="22"/>
          <w:rtl w:val="0"/>
          <w:lang w:val="it-IT"/>
          <w14:textOutline>
            <w14:noFill/>
          </w14:textOutline>
        </w:rPr>
        <w:t>affari per il 2020 in provincia di Udine sar</w:t>
      </w:r>
      <w:r>
        <w:rPr>
          <w:rFonts w:ascii="Avenir Heavy" w:hAnsi="Avenir Heavy" w:hint="default"/>
          <w:sz w:val="22"/>
          <w:szCs w:val="22"/>
          <w:rtl w:val="0"/>
          <w:lang w:val="it-IT"/>
          <w14:textOutline>
            <w14:noFill/>
          </w14:textOutline>
        </w:rPr>
        <w:t xml:space="preserve">à </w:t>
      </w:r>
      <w:r>
        <w:rPr>
          <w:rFonts w:ascii="Avenir Heavy" w:hAnsi="Avenir Heavy"/>
          <w:sz w:val="22"/>
          <w:szCs w:val="22"/>
          <w:rtl w:val="0"/>
          <w:lang w:val="it-IT"/>
          <w14:textOutline>
            <w14:noFill/>
          </w14:textOutline>
        </w:rPr>
        <w:t>di ben il 35% quest</w:t>
      </w:r>
      <w:r>
        <w:rPr>
          <w:rFonts w:ascii="Avenir Heavy" w:hAnsi="Avenir Heavy" w:hint="default"/>
          <w:sz w:val="22"/>
          <w:szCs w:val="22"/>
          <w:rtl w:val="0"/>
          <w:lang w:val="it-IT"/>
          <w14:textOutline>
            <w14:noFill/>
          </w14:textOutline>
        </w:rPr>
        <w:t>’</w:t>
      </w:r>
      <w:r>
        <w:rPr>
          <w:rFonts w:ascii="Avenir Heavy" w:hAnsi="Avenir Heavy"/>
          <w:sz w:val="22"/>
          <w:szCs w:val="22"/>
          <w:rtl w:val="0"/>
          <w:lang w:val="it-IT"/>
          <w14:textOutline>
            <w14:noFill/>
          </w14:textOutline>
        </w:rPr>
        <w:t>anno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 xml:space="preserve">, che tradotto in euro significa 600 milioni in meno rispetto al 2019 e ben 1,2 miliardi se proiettiamo il dato a livello Fvg, con un </w:t>
      </w:r>
      <w:r>
        <w:rPr>
          <w:rFonts w:ascii="Avenir Heavy" w:hAnsi="Avenir Heavy"/>
          <w:sz w:val="22"/>
          <w:szCs w:val="22"/>
          <w:rtl w:val="0"/>
          <w:lang w:val="it-IT"/>
          <w14:textOutline>
            <w14:noFill/>
          </w14:textOutline>
        </w:rPr>
        <w:t xml:space="preserve">calo medio </w:t>
      </w:r>
      <w:r>
        <w:rPr>
          <w:rFonts w:ascii="Avenir Heavy" w:hAnsi="Avenir Heavy"/>
          <w:sz w:val="22"/>
          <w:szCs w:val="22"/>
          <w:rtl w:val="0"/>
          <w:lang w:val="it-IT"/>
          <w14:textOutline>
            <w14:noFill/>
          </w14:textOutline>
        </w:rPr>
        <w:t>di oltre 40mila euro per azienda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>.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 xml:space="preserve">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60" w:line="259" w:lineRule="auto"/>
        <w:jc w:val="both"/>
        <w:rPr>
          <w:rFonts w:ascii="Avenir Book" w:cs="Avenir Book" w:hAnsi="Avenir Book" w:eastAsia="Avenir Book"/>
          <w:sz w:val="22"/>
          <w:szCs w:val="22"/>
          <w14:textOutline>
            <w14:noFill/>
          </w14:textOutline>
        </w:rPr>
      </w:pPr>
      <w:r>
        <w:rPr>
          <w:rFonts w:ascii="Avenir Book" w:hAnsi="Avenir Book" w:hint="default"/>
          <w:sz w:val="22"/>
          <w:szCs w:val="22"/>
          <w:rtl w:val="0"/>
          <w:lang w:val="it-IT"/>
          <w14:textOutline>
            <w14:noFill/>
          </w14:textOutline>
        </w:rPr>
        <w:t>«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>Ci eravamo illusi che l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>
            <w14:noFill/>
          </w14:textOutline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>effetto della pandemia potesse essere pi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>
            <w14:noFill/>
          </w14:textOutline>
        </w:rPr>
        <w:t xml:space="preserve">ù 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>contenuto e invece questi dati ce lo mostrano in tutta la sua gravit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>
            <w14:noFill/>
          </w14:textOutline>
        </w:rPr>
        <w:t xml:space="preserve">à 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>- dichiara Tilatti -. Non possiamo che prenderne atto e rimboccarci ancor pi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>
            <w14:noFill/>
          </w14:textOutline>
        </w:rPr>
        <w:t xml:space="preserve">ù 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 xml:space="preserve">le maniche, fiduciosi e determinati a tenere la barra dritta. Con due obiettivi: il primo 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>
            <w14:noFill/>
          </w14:textOutline>
        </w:rPr>
        <w:t xml:space="preserve">è 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>quello di tenere in vita le imprese, il secondo trovare nuovi canali di sviluppo. Per far questo dovremo anzitutto capire quale sar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>
            <w14:noFill/>
          </w14:textOutline>
        </w:rPr>
        <w:t xml:space="preserve">à 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>il futuro modello economico e sulla base di quello mettere in campo misure adatte. Bene quelle varate fin qui, ma non possiamo pensare che bastino strumenti pensati per un mondo che non c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>
            <w14:noFill/>
          </w14:textOutline>
        </w:rPr>
        <w:t xml:space="preserve">’è 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>pi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>
            <w14:noFill/>
          </w14:textOutline>
        </w:rPr>
        <w:t xml:space="preserve">ù 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>- conclude il presidente degli artigiani, dobbiamo essere capaci di guardare oltre, di immaginare un nuovo sistema e accompagnarlo con misure innovative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>
            <w14:noFill/>
          </w14:textOutline>
        </w:rPr>
        <w:t>»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60" w:line="259" w:lineRule="auto"/>
        <w:jc w:val="both"/>
        <w:rPr>
          <w:rFonts w:ascii="Avenir Book" w:cs="Avenir Book" w:hAnsi="Avenir Book" w:eastAsia="Avenir Book"/>
          <w:sz w:val="22"/>
          <w:szCs w:val="22"/>
          <w14:textOutline>
            <w14:noFill/>
          </w14:textOutline>
        </w:rPr>
      </w:pP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 xml:space="preserve">Tornando al sondaggio, </w:t>
      </w:r>
      <w:r>
        <w:rPr>
          <w:rFonts w:ascii="Avenir Heavy" w:hAnsi="Avenir Heavy"/>
          <w:sz w:val="22"/>
          <w:szCs w:val="22"/>
          <w:rtl w:val="0"/>
          <w:lang w:val="it-IT"/>
          <w14:textOutline>
            <w14:noFill/>
          </w14:textOutline>
        </w:rPr>
        <w:t>l</w:t>
      </w:r>
      <w:r>
        <w:rPr>
          <w:rFonts w:ascii="Avenir Heavy" w:hAnsi="Avenir Heavy"/>
          <w:sz w:val="22"/>
          <w:szCs w:val="22"/>
          <w:rtl w:val="0"/>
          <w:lang w:val="it-IT"/>
          <w14:textOutline>
            <w14:noFill/>
          </w14:textOutline>
        </w:rPr>
        <w:t>a perdita accomuna tutti i settori dell</w:t>
      </w:r>
      <w:r>
        <w:rPr>
          <w:rFonts w:ascii="Avenir Heavy" w:hAnsi="Avenir Heavy" w:hint="default"/>
          <w:sz w:val="22"/>
          <w:szCs w:val="22"/>
          <w:rtl w:val="0"/>
          <w:lang w:val="it-IT"/>
          <w14:textOutline>
            <w14:noFill/>
          </w14:textOutline>
        </w:rPr>
        <w:t>’</w:t>
      </w:r>
      <w:r>
        <w:rPr>
          <w:rFonts w:ascii="Avenir Heavy" w:hAnsi="Avenir Heavy"/>
          <w:sz w:val="22"/>
          <w:szCs w:val="22"/>
          <w:rtl w:val="0"/>
          <w:lang w:val="it-IT"/>
          <w14:textOutline>
            <w14:noFill/>
          </w14:textOutline>
        </w:rPr>
        <w:t>artigianato</w:t>
      </w:r>
      <w:r>
        <w:rPr>
          <w:rFonts w:ascii="Avenir Heavy" w:hAnsi="Avenir Heavy"/>
          <w:sz w:val="22"/>
          <w:szCs w:val="22"/>
          <w:rtl w:val="0"/>
          <w:lang w:val="it-IT"/>
          <w14:textOutline>
            <w14:noFill/>
          </w14:textOutline>
        </w:rPr>
        <w:t xml:space="preserve"> 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>che soffrono per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>
            <w14:noFill/>
          </w14:textOutline>
        </w:rPr>
        <w:t xml:space="preserve">ò 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 xml:space="preserve">gli effetti del Covid-19 con pesi diversi. Stando alle risposte date al sondaggio </w:t>
      </w:r>
      <w:r>
        <w:rPr>
          <w:rFonts w:ascii="Avenir Heavy" w:hAnsi="Avenir Heavy"/>
          <w:sz w:val="22"/>
          <w:szCs w:val="22"/>
          <w:rtl w:val="0"/>
          <w:lang w:val="it-IT"/>
          <w14:textOutline>
            <w14:noFill/>
          </w14:textOutline>
        </w:rPr>
        <w:t>sono le imprese del comparto artistico e moda a patire di pi</w:t>
      </w:r>
      <w:r>
        <w:rPr>
          <w:rFonts w:ascii="Avenir Heavy" w:hAnsi="Avenir Heavy" w:hint="default"/>
          <w:sz w:val="22"/>
          <w:szCs w:val="22"/>
          <w:rtl w:val="0"/>
          <w:lang w:val="it-IT"/>
          <w14:textOutline>
            <w14:noFill/>
          </w14:textOutline>
        </w:rPr>
        <w:t>ù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>, con una perdita di fatturato nell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>
            <w14:noFill/>
          </w14:textOutline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>ordine della met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>
            <w14:noFill/>
          </w14:textOutline>
        </w:rPr>
        <w:t xml:space="preserve">à 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>rispetto all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>
            <w14:noFill/>
          </w14:textOutline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 xml:space="preserve">anno scorso (-49%), seguono quelle attive nei settori di 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 xml:space="preserve">manifatture e subforniture (-44%), autoriparazioni e trasporti (-43%) e dagli impiantisti (-42%). 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>Viceversa, i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>l calo pi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>
            <w14:noFill/>
          </w14:textOutline>
        </w:rPr>
        <w:t xml:space="preserve">ù 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>contenuto si registra nell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>
            <w14:noFill/>
          </w14:textOutline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>alimentare (-24%).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60" w:line="259" w:lineRule="auto"/>
        <w:jc w:val="both"/>
        <w:rPr>
          <w:rFonts w:ascii="Avenir Heavy" w:cs="Avenir Heavy" w:hAnsi="Avenir Heavy" w:eastAsia="Avenir Heavy"/>
          <w:sz w:val="22"/>
          <w:szCs w:val="22"/>
          <w14:textOutline>
            <w14:noFill/>
          </w14:textOutline>
        </w:rPr>
      </w:pP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 xml:space="preserve">La perdita 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>
            <w14:noFill/>
          </w14:textOutline>
        </w:rPr>
        <w:t xml:space="preserve">è 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 xml:space="preserve">legata ai settori, ma anche alla durata del lockdown, molto diversa a seconda del business aziendale. Il 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 xml:space="preserve">64% degli artigiani aveva 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 xml:space="preserve">infatti 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>gi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>
            <w14:noFill/>
          </w14:textOutline>
        </w:rPr>
        <w:t xml:space="preserve">à 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>riaperto prima del 18 maggio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 xml:space="preserve">, il 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>30% - comprese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 xml:space="preserve"> le realt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>
            <w14:noFill/>
          </w14:textOutline>
        </w:rPr>
        <w:t xml:space="preserve">à 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 xml:space="preserve">che 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>potevano operare solo per asporto o a domicilio - ha riaperto dal 18 maggio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>, il 4% - pari a 7 casi - non ha ancora riaperto in parte per via del mercato completamente azzerato dall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>
            <w14:noFill/>
          </w14:textOutline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>emergenza, in parte per la necessit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>
            <w14:noFill/>
          </w14:textOutline>
        </w:rPr>
        <w:t xml:space="preserve">à 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 xml:space="preserve">di adeguarsi alle nuove misure di sicurezza.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60" w:line="259" w:lineRule="auto"/>
        <w:jc w:val="both"/>
        <w:rPr>
          <w:rFonts w:ascii="Avenir Book" w:cs="Avenir Book" w:hAnsi="Avenir Book" w:eastAsia="Avenir Book"/>
          <w:sz w:val="22"/>
          <w:szCs w:val="22"/>
          <w14:textOutline>
            <w14:noFill/>
          </w14:textOutline>
        </w:rPr>
      </w:pPr>
      <w:r>
        <w:rPr>
          <w:rFonts w:ascii="Avenir Heavy" w:hAnsi="Avenir Heavy"/>
          <w:sz w:val="22"/>
          <w:szCs w:val="22"/>
          <w:rtl w:val="0"/>
          <w:lang w:val="it-IT"/>
          <w14:textOutline>
            <w14:noFill/>
          </w14:textOutline>
        </w:rPr>
        <w:t xml:space="preserve">Tra chi </w:t>
      </w:r>
      <w:r>
        <w:rPr>
          <w:rFonts w:ascii="Avenir Heavy" w:hAnsi="Avenir Heavy"/>
          <w:sz w:val="22"/>
          <w:szCs w:val="22"/>
          <w:rtl w:val="0"/>
          <w:lang w:val="it-IT"/>
          <w14:textOutline>
            <w14:noFill/>
          </w14:textOutline>
        </w:rPr>
        <w:t>ha</w:t>
      </w:r>
      <w:r>
        <w:rPr>
          <w:rFonts w:ascii="Avenir Heavy" w:hAnsi="Avenir Heavy"/>
          <w:sz w:val="22"/>
          <w:szCs w:val="22"/>
          <w:rtl w:val="0"/>
          <w:lang w:val="it-IT"/>
          <w14:textOutline>
            <w14:noFill/>
          </w14:textOutline>
        </w:rPr>
        <w:t xml:space="preserve"> potuto riaprire gi</w:t>
      </w:r>
      <w:r>
        <w:rPr>
          <w:rFonts w:ascii="Avenir Heavy" w:hAnsi="Avenir Heavy" w:hint="default"/>
          <w:sz w:val="22"/>
          <w:szCs w:val="22"/>
          <w:rtl w:val="0"/>
          <w:lang w:val="it-IT"/>
          <w14:textOutline>
            <w14:noFill/>
          </w14:textOutline>
        </w:rPr>
        <w:t xml:space="preserve">à </w:t>
      </w:r>
      <w:r>
        <w:rPr>
          <w:rFonts w:ascii="Avenir Heavy" w:hAnsi="Avenir Heavy"/>
          <w:sz w:val="22"/>
          <w:szCs w:val="22"/>
          <w:rtl w:val="0"/>
          <w:lang w:val="it-IT"/>
          <w14:textOutline>
            <w14:noFill/>
          </w14:textOutline>
        </w:rPr>
        <w:t>prima del 18 maggio, il calo percentuale di fatturato registrato da inizio emergenza ad oggi, rispetto al normale giro d</w:t>
      </w:r>
      <w:r>
        <w:rPr>
          <w:rFonts w:ascii="Avenir Heavy" w:hAnsi="Avenir Heavy" w:hint="default"/>
          <w:sz w:val="22"/>
          <w:szCs w:val="22"/>
          <w:rtl w:val="0"/>
          <w:lang w:val="it-IT"/>
          <w14:textOutline>
            <w14:noFill/>
          </w14:textOutline>
        </w:rPr>
        <w:t>’</w:t>
      </w:r>
      <w:r>
        <w:rPr>
          <w:rFonts w:ascii="Avenir Heavy" w:hAnsi="Avenir Heavy"/>
          <w:sz w:val="22"/>
          <w:szCs w:val="22"/>
          <w:rtl w:val="0"/>
          <w:lang w:val="it-IT"/>
          <w14:textOutline>
            <w14:noFill/>
          </w14:textOutline>
        </w:rPr>
        <w:t xml:space="preserve">affari, </w:t>
      </w:r>
      <w:r>
        <w:rPr>
          <w:rFonts w:ascii="Avenir Heavy" w:hAnsi="Avenir Heavy" w:hint="default"/>
          <w:sz w:val="22"/>
          <w:szCs w:val="22"/>
          <w:rtl w:val="0"/>
          <w:lang w:val="it-IT"/>
          <w14:textOutline>
            <w14:noFill/>
          </w14:textOutline>
        </w:rPr>
        <w:t xml:space="preserve">è </w:t>
      </w:r>
      <w:r>
        <w:rPr>
          <w:rFonts w:ascii="Avenir Heavy" w:hAnsi="Avenir Heavy"/>
          <w:sz w:val="22"/>
          <w:szCs w:val="22"/>
          <w:rtl w:val="0"/>
          <w:lang w:val="it-IT"/>
          <w14:textOutline>
            <w14:noFill/>
          </w14:textOutline>
        </w:rPr>
        <w:t>stato pari al 46%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>,</w:t>
      </w:r>
      <w:r>
        <w:rPr>
          <w:rFonts w:ascii="Avenir Heavy" w:hAnsi="Avenir Heavy"/>
          <w:sz w:val="22"/>
          <w:szCs w:val="22"/>
          <w:rtl w:val="0"/>
          <w:lang w:val="it-IT"/>
          <w14:textOutline>
            <w14:noFill/>
          </w14:textOutline>
        </w:rPr>
        <w:t xml:space="preserve"> 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>mentre per le aziende che hanno appena riaperto, la perdita, calcolata sui primi giorni di ritorno alla normalit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>
            <w14:noFill/>
          </w14:textOutline>
        </w:rPr>
        <w:t>à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>, si attesta al 34%. Rari i casi di incremento della clientela che riguardano in particolare gli acconciatori. Parrucchiere, ma anche estetisti e in generale i servizi alla persona sono state nelle ultime settimane le attivit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>
            <w14:noFill/>
          </w14:textOutline>
        </w:rPr>
        <w:t xml:space="preserve">à 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>pi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>
            <w14:noFill/>
          </w14:textOutline>
        </w:rPr>
        <w:t xml:space="preserve">ù 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>attese tanto che alla riapertura si sono trovate a gestire carichi di lavoro straordinari tali da indurre 3 aziende su 4 (73%) a prolungare temporaneamente gli orari di apertura e 6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 xml:space="preserve"> su 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 xml:space="preserve">10 a 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>incrementa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>re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 xml:space="preserve"> il numero di giornate lavorative (60%).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60" w:line="259" w:lineRule="auto"/>
        <w:jc w:val="both"/>
        <w:rPr>
          <w:rFonts w:ascii="Avenir Book" w:cs="Avenir Book" w:hAnsi="Avenir Book" w:eastAsia="Avenir Book"/>
          <w:sz w:val="22"/>
          <w:szCs w:val="22"/>
          <w14:textOutline>
            <w14:noFill/>
          </w14:textOutline>
        </w:rPr>
      </w:pP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>Il settore dell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>
            <w14:noFill/>
          </w14:textOutline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 xml:space="preserve">alimentazione 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>
            <w14:noFill/>
          </w14:textOutline>
        </w:rPr>
        <w:t xml:space="preserve">è 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>quello dove pi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>
            <w14:noFill/>
          </w14:textOutline>
        </w:rPr>
        <w:t xml:space="preserve">ù 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 xml:space="preserve">frequentemente la riapertura al pubblico 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>
            <w14:noFill/>
          </w14:textOutline>
        </w:rPr>
        <w:t xml:space="preserve">è 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>stata accompagnata da un aumento della gamma di prodotti e servizi offerti alla clientela, strategia scelta dall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>
            <w14:noFill/>
          </w14:textOutline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>83% delle imprese del comparto e che complessivamente ha riguardato un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>
            <w14:noFill/>
          </w14:textOutline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>impresa su 4 (25%).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60" w:line="259" w:lineRule="auto"/>
        <w:jc w:val="both"/>
        <w:rPr>
          <w:rFonts w:ascii="Avenir Book" w:cs="Avenir Book" w:hAnsi="Avenir Book" w:eastAsia="Avenir Book"/>
          <w:sz w:val="22"/>
          <w:szCs w:val="22"/>
          <w14:textOutline>
            <w14:noFill/>
          </w14:textOutline>
        </w:rPr>
      </w:pP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>I maggiori costi per garantire la salute e la sicurezza dei clienti in questa fase di emergenza sono stati scaricati sul prezzo finale da un artigiano su dieci (10%), la maggioranza assoluta degli imprenditori (57%) ha scelto di non aumentare i prezzi, con una contrazione dei margini di profitto. Il 33% non ha ancora ritoccato i prezzi ma sta ancora valutando la sostenibilit</w:t>
      </w:r>
      <w:r>
        <w:rPr>
          <w:rFonts w:ascii="Avenir Book" w:hAnsi="Avenir Book" w:hint="default"/>
          <w:sz w:val="22"/>
          <w:szCs w:val="22"/>
          <w:rtl w:val="0"/>
          <w:lang w:val="it-IT"/>
          <w14:textOutline>
            <w14:noFill/>
          </w14:textOutline>
        </w:rPr>
        <w:t xml:space="preserve">à </w:t>
      </w:r>
      <w:r>
        <w:rPr>
          <w:rFonts w:ascii="Avenir Book" w:hAnsi="Avenir Book"/>
          <w:sz w:val="22"/>
          <w:szCs w:val="22"/>
          <w:rtl w:val="0"/>
          <w:lang w:val="it-IT"/>
          <w14:textOutline>
            <w14:noFill/>
          </w14:textOutline>
        </w:rPr>
        <w:t>economica di questa scelta.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60" w:line="259" w:lineRule="auto"/>
        <w:jc w:val="both"/>
        <w:rPr>
          <w:rFonts w:ascii="Avenir Book" w:cs="Avenir Book" w:hAnsi="Avenir Book" w:eastAsia="Avenir Book"/>
          <w:sz w:val="22"/>
          <w:szCs w:val="22"/>
          <w14:textOutline>
            <w14:noFill/>
          </w14:textOutline>
        </w:rPr>
      </w:pPr>
    </w:p>
    <w:p>
      <w:pPr>
        <w:pStyle w:val="Normal.0"/>
        <w:jc w:val="center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it-IT"/>
        </w:rPr>
        <w:t xml:space="preserve">Addetto stampa Confartigianato-Imprese Udine </w:t>
      </w:r>
    </w:p>
    <w:p>
      <w:pPr>
        <w:pStyle w:val="Normal.0"/>
        <w:jc w:val="center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it-IT"/>
        </w:rPr>
        <w:t xml:space="preserve">Maura Delle Case - </w:t>
      </w:r>
      <w:r>
        <w:rPr>
          <w:rFonts w:ascii="Avenir Book" w:cs="Avenir Book" w:hAnsi="Avenir Book" w:eastAsia="Avenir Book"/>
        </w:rPr>
        <w:fldChar w:fldCharType="begin" w:fldLock="0"/>
      </w:r>
      <w:r>
        <w:rPr>
          <w:rFonts w:ascii="Avenir Book" w:cs="Avenir Book" w:hAnsi="Avenir Book" w:eastAsia="Avenir Book"/>
        </w:rPr>
        <w:instrText xml:space="preserve"> HYPERLINK "mailto:mauradellecase@gmail.com"</w:instrText>
      </w:r>
      <w:r>
        <w:rPr>
          <w:rFonts w:ascii="Avenir Book" w:cs="Avenir Book" w:hAnsi="Avenir Book" w:eastAsia="Avenir Book"/>
        </w:rPr>
        <w:fldChar w:fldCharType="separate" w:fldLock="0"/>
      </w:r>
      <w:r>
        <w:rPr>
          <w:rFonts w:ascii="Avenir Book" w:hAnsi="Avenir Book"/>
          <w:rtl w:val="0"/>
          <w:lang w:val="it-IT"/>
        </w:rPr>
        <w:t>mauradellecase@gmail.com</w:t>
      </w:r>
      <w:r>
        <w:rPr>
          <w:rFonts w:ascii="Avenir Book" w:cs="Avenir Book" w:hAnsi="Avenir Book" w:eastAsia="Avenir Book"/>
        </w:rPr>
        <w:fldChar w:fldCharType="end" w:fldLock="0"/>
      </w:r>
      <w:r>
        <w:rPr>
          <w:rFonts w:ascii="Avenir Book" w:hAnsi="Avenir Book"/>
          <w:rtl w:val="0"/>
          <w:lang w:val="it-IT"/>
        </w:rPr>
        <w:t xml:space="preserve"> - 3478794338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20" w:line="259" w:lineRule="auto"/>
        <w:jc w:val="both"/>
        <w:rPr>
          <w:rFonts w:ascii="Calibri" w:cs="Calibri" w:hAnsi="Calibri" w:eastAsia="Calibri"/>
          <w:sz w:val="26"/>
          <w:szCs w:val="26"/>
          <w14:textOutline>
            <w14:noFill/>
          </w14:textOutline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20" w:line="259" w:lineRule="auto"/>
        <w:jc w:val="both"/>
        <w:rPr>
          <w:rFonts w:ascii="Calibri" w:cs="Calibri" w:hAnsi="Calibri" w:eastAsia="Calibri"/>
          <w:sz w:val="26"/>
          <w:szCs w:val="26"/>
          <w14:textOutline>
            <w14:noFill/>
          </w14:textOutline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20" w:line="259" w:lineRule="auto"/>
        <w:jc w:val="center"/>
        <w:rPr>
          <w:rFonts w:ascii="Calibri" w:cs="Calibri" w:hAnsi="Calibri" w:eastAsia="Calibri"/>
          <w:sz w:val="22"/>
          <w:szCs w:val="22"/>
          <w14:textOutline>
            <w14:noFill/>
          </w14:textOutline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20" w:line="259" w:lineRule="auto"/>
        <w:jc w:val="center"/>
        <w:rPr>
          <w:rFonts w:ascii="Calibri" w:cs="Calibri" w:hAnsi="Calibri" w:eastAsia="Calibri"/>
          <w:sz w:val="22"/>
          <w:szCs w:val="22"/>
          <w14:textOutline>
            <w14:noFill/>
          </w14:textOutline>
        </w:rPr>
      </w:pPr>
      <w:r>
        <w:drawing>
          <wp:inline distT="0" distB="0" distL="0" distR="0">
            <wp:extent cx="5916930" cy="3578528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r:id="rId4"/>
              </a:graphicData>
            </a:graphic>
          </wp:inline>
        </w:drawing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20" w:line="259" w:lineRule="auto"/>
        <w:jc w:val="center"/>
        <w:rPr>
          <w:rFonts w:ascii="Calibri" w:cs="Calibri" w:hAnsi="Calibri" w:eastAsia="Calibri"/>
          <w:sz w:val="22"/>
          <w:szCs w:val="22"/>
          <w14:textOutline>
            <w14:noFill/>
          </w14:textOutline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20" w:line="259" w:lineRule="auto"/>
        <w:jc w:val="center"/>
        <w:rPr>
          <w:rFonts w:ascii="Calibri" w:cs="Calibri" w:hAnsi="Calibri" w:eastAsia="Calibri"/>
          <w:b w:val="1"/>
          <w:bCs w:val="1"/>
          <w:sz w:val="28"/>
          <w:szCs w:val="28"/>
          <w14:textOutline>
            <w14:noFill/>
          </w14:textOutline>
        </w:rPr>
      </w:pPr>
      <w:r>
        <w:rPr>
          <w:rFonts w:ascii="Calibri" w:hAnsi="Calibri"/>
          <w:b w:val="1"/>
          <w:bCs w:val="1"/>
          <w:sz w:val="28"/>
          <w:szCs w:val="28"/>
          <w:rtl w:val="0"/>
          <w:lang w:val="en-US"/>
          <w14:textOutline>
            <w14:noFill/>
          </w14:textOutline>
        </w:rPr>
        <w:t>Distribuzione delle imprese artigiane della provincia di Udine per status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lang w:val="en-US"/>
          <w14:textOutline>
            <w14:noFill/>
          </w14:textOutline>
        </w:rPr>
        <w:br w:type="textWrapping"/>
      </w:r>
      <w:r>
        <w:rPr>
          <w:rFonts w:ascii="Calibri" w:hAnsi="Calibri"/>
          <w:b w:val="1"/>
          <w:bCs w:val="1"/>
          <w:sz w:val="28"/>
          <w:szCs w:val="28"/>
          <w:rtl w:val="0"/>
          <w:lang w:val="en-US"/>
          <w14:textOutline>
            <w14:noFill/>
          </w14:textOutline>
        </w:rPr>
        <w:t xml:space="preserve">prima e dopo il 18 maggio2020,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lang w:val="it-IT"/>
          <w14:textOutline>
            <w14:noFill/>
          </w14:textOutline>
        </w:rPr>
        <w:br w:type="textWrapping"/>
      </w:r>
      <w:r>
        <w:rPr>
          <w:rFonts w:ascii="Calibri" w:hAnsi="Calibri"/>
          <w:sz w:val="22"/>
          <w:szCs w:val="22"/>
          <w:rtl w:val="0"/>
          <w:lang w:val="en-US"/>
          <w14:textOutline>
            <w14:noFill/>
          </w14:textOutline>
        </w:rPr>
        <w:t>Fonte: Indagini Ufficio Studi Confartigianato-Imprese Udine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20" w:line="259" w:lineRule="auto"/>
        <w:jc w:val="both"/>
        <w:rPr>
          <w:rFonts w:ascii="Calibri" w:cs="Calibri" w:hAnsi="Calibri" w:eastAsia="Calibri"/>
          <w:b w:val="1"/>
          <w:bCs w:val="1"/>
          <w:sz w:val="24"/>
          <w:szCs w:val="24"/>
          <w14:textOutline>
            <w14:noFill/>
          </w14:textOutline>
        </w:rPr>
      </w:pPr>
    </w:p>
    <w:tbl>
      <w:tblPr>
        <w:tblW w:w="769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273"/>
        <w:gridCol w:w="1085"/>
        <w:gridCol w:w="1335"/>
      </w:tblGrid>
      <w:tr>
        <w:tblPrEx>
          <w:shd w:val="clear" w:color="auto" w:fill="d0ddef"/>
        </w:tblPrEx>
        <w:trPr>
          <w:trHeight w:val="283" w:hRule="atLeast"/>
        </w:trPr>
        <w:tc>
          <w:tcPr>
            <w:tcW w:type="dxa" w:w="5273"/>
            <w:tcBorders>
              <w:top w:val="single" w:color="0099cc" w:sz="8" w:space="0" w:shadow="0" w:frame="0"/>
              <w:left w:val="single" w:color="0099cc" w:sz="8" w:space="0" w:shadow="0" w:frame="0"/>
              <w:bottom w:val="single" w:color="0099cc" w:sz="8" w:space="0" w:shadow="0" w:frame="0"/>
              <w:right w:val="single" w:color="0099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0"/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it-IT"/>
                <w14:textOutline>
                  <w14:noFill/>
                </w14:textOutline>
              </w:rPr>
              <w:t>Status</w:t>
            </w:r>
          </w:p>
        </w:tc>
        <w:tc>
          <w:tcPr>
            <w:tcW w:type="dxa" w:w="1085"/>
            <w:tcBorders>
              <w:top w:val="single" w:color="0099cc" w:sz="8" w:space="0" w:shadow="0" w:frame="0"/>
              <w:left w:val="single" w:color="0099cc" w:sz="8" w:space="0" w:shadow="0" w:frame="0"/>
              <w:bottom w:val="single" w:color="0099cc" w:sz="8" w:space="0" w:shadow="0" w:frame="0"/>
              <w:right w:val="single" w:color="0099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</w:tabs>
              <w:suppressAutoHyphens w:val="0"/>
              <w:jc w:val="right"/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it-IT"/>
                <w14:textOutline>
                  <w14:noFill/>
                </w14:textOutline>
              </w:rPr>
              <w:t>Totale</w:t>
            </w:r>
          </w:p>
        </w:tc>
        <w:tc>
          <w:tcPr>
            <w:tcW w:type="dxa" w:w="1335"/>
            <w:tcBorders>
              <w:top w:val="single" w:color="0099cc" w:sz="8" w:space="0" w:shadow="0" w:frame="0"/>
              <w:left w:val="single" w:color="0099cc" w:sz="8" w:space="0" w:shadow="0" w:frame="0"/>
              <w:bottom w:val="single" w:color="0099cc" w:sz="8" w:space="0" w:shadow="0" w:frame="0"/>
              <w:right w:val="single" w:color="0099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</w:tabs>
              <w:suppressAutoHyphens w:val="0"/>
              <w:jc w:val="right"/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it-IT"/>
                <w14:textOutline>
                  <w14:noFill/>
                </w14:textOutline>
              </w:rPr>
              <w:t>%</w:t>
            </w:r>
          </w:p>
        </w:tc>
      </w:tr>
      <w:tr>
        <w:tblPrEx>
          <w:shd w:val="clear" w:color="auto" w:fill="d0ddef"/>
        </w:tblPrEx>
        <w:trPr>
          <w:trHeight w:val="283" w:hRule="atLeast"/>
        </w:trPr>
        <w:tc>
          <w:tcPr>
            <w:tcW w:type="dxa" w:w="5273"/>
            <w:tcBorders>
              <w:top w:val="single" w:color="0099cc" w:sz="8" w:space="0" w:shadow="0" w:frame="0"/>
              <w:left w:val="single" w:color="0099cc" w:sz="8" w:space="0" w:shadow="0" w:frame="0"/>
              <w:bottom w:val="single" w:color="0099cc" w:sz="8" w:space="0" w:shadow="0" w:frame="0"/>
              <w:right w:val="single" w:color="0099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0"/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it-IT"/>
                <w14:textOutline>
                  <w14:noFill/>
                </w14:textOutline>
              </w:rPr>
              <w:t>Aperta prima e dopo il 18 maggio</w:t>
            </w:r>
          </w:p>
        </w:tc>
        <w:tc>
          <w:tcPr>
            <w:tcW w:type="dxa" w:w="1085"/>
            <w:tcBorders>
              <w:top w:val="single" w:color="0099cc" w:sz="8" w:space="0" w:shadow="0" w:frame="0"/>
              <w:left w:val="single" w:color="0099cc" w:sz="8" w:space="0" w:shadow="0" w:frame="0"/>
              <w:bottom w:val="single" w:color="0099cc" w:sz="8" w:space="0" w:shadow="0" w:frame="0"/>
              <w:right w:val="single" w:color="0099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</w:tabs>
              <w:suppressAutoHyphens w:val="0"/>
              <w:jc w:val="right"/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it-IT"/>
                <w14:textOutline>
                  <w14:noFill/>
                </w14:textOutline>
              </w:rPr>
              <w:t>103</w:t>
            </w:r>
          </w:p>
        </w:tc>
        <w:tc>
          <w:tcPr>
            <w:tcW w:type="dxa" w:w="1335"/>
            <w:tcBorders>
              <w:top w:val="single" w:color="0099cc" w:sz="8" w:space="0" w:shadow="0" w:frame="0"/>
              <w:left w:val="single" w:color="0099cc" w:sz="8" w:space="0" w:shadow="0" w:frame="0"/>
              <w:bottom w:val="single" w:color="0099cc" w:sz="8" w:space="0" w:shadow="0" w:frame="0"/>
              <w:right w:val="single" w:color="0099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</w:tabs>
              <w:suppressAutoHyphens w:val="0"/>
              <w:jc w:val="right"/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it-IT"/>
                <w14:textOutline>
                  <w14:noFill/>
                </w14:textOutline>
              </w:rPr>
              <w:t>64,0%</w:t>
            </w:r>
          </w:p>
        </w:tc>
      </w:tr>
      <w:tr>
        <w:tblPrEx>
          <w:shd w:val="clear" w:color="auto" w:fill="d0ddef"/>
        </w:tblPrEx>
        <w:trPr>
          <w:trHeight w:val="283" w:hRule="atLeast"/>
        </w:trPr>
        <w:tc>
          <w:tcPr>
            <w:tcW w:type="dxa" w:w="5273"/>
            <w:tcBorders>
              <w:top w:val="single" w:color="0099cc" w:sz="8" w:space="0" w:shadow="0" w:frame="0"/>
              <w:left w:val="single" w:color="0099cc" w:sz="8" w:space="0" w:shadow="0" w:frame="0"/>
              <w:bottom w:val="single" w:color="0099cc" w:sz="8" w:space="0" w:shadow="0" w:frame="0"/>
              <w:right w:val="single" w:color="0099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0"/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it-IT"/>
                <w14:textOutline>
                  <w14:noFill/>
                </w14:textOutline>
              </w:rPr>
              <w:t>Aperta, prima del 18 maggio era chiusa</w:t>
            </w:r>
          </w:p>
        </w:tc>
        <w:tc>
          <w:tcPr>
            <w:tcW w:type="dxa" w:w="1085"/>
            <w:tcBorders>
              <w:top w:val="single" w:color="0099cc" w:sz="8" w:space="0" w:shadow="0" w:frame="0"/>
              <w:left w:val="single" w:color="0099cc" w:sz="8" w:space="0" w:shadow="0" w:frame="0"/>
              <w:bottom w:val="single" w:color="0099cc" w:sz="8" w:space="0" w:shadow="0" w:frame="0"/>
              <w:right w:val="single" w:color="0099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</w:tabs>
              <w:suppressAutoHyphens w:val="0"/>
              <w:jc w:val="right"/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it-IT"/>
                <w14:textOutline>
                  <w14:noFill/>
                </w14:textOutline>
              </w:rPr>
              <w:t>40</w:t>
            </w:r>
          </w:p>
        </w:tc>
        <w:tc>
          <w:tcPr>
            <w:tcW w:type="dxa" w:w="1335"/>
            <w:tcBorders>
              <w:top w:val="single" w:color="0099cc" w:sz="8" w:space="0" w:shadow="0" w:frame="0"/>
              <w:left w:val="single" w:color="0099cc" w:sz="8" w:space="0" w:shadow="0" w:frame="0"/>
              <w:bottom w:val="single" w:color="0099cc" w:sz="8" w:space="0" w:shadow="0" w:frame="0"/>
              <w:right w:val="single" w:color="0099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</w:tabs>
              <w:suppressAutoHyphens w:val="0"/>
              <w:jc w:val="right"/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it-IT"/>
                <w14:textOutline>
                  <w14:noFill/>
                </w14:textOutline>
              </w:rPr>
              <w:t>24,8%</w:t>
            </w:r>
          </w:p>
        </w:tc>
      </w:tr>
      <w:tr>
        <w:tblPrEx>
          <w:shd w:val="clear" w:color="auto" w:fill="d0ddef"/>
        </w:tblPrEx>
        <w:trPr>
          <w:trHeight w:val="923" w:hRule="atLeast"/>
        </w:trPr>
        <w:tc>
          <w:tcPr>
            <w:tcW w:type="dxa" w:w="5273"/>
            <w:tcBorders>
              <w:top w:val="single" w:color="0099cc" w:sz="8" w:space="0" w:shadow="0" w:frame="0"/>
              <w:left w:val="single" w:color="0099cc" w:sz="8" w:space="0" w:shadow="0" w:frame="0"/>
              <w:bottom w:val="single" w:color="0099cc" w:sz="8" w:space="0" w:shadow="0" w:frame="0"/>
              <w:right w:val="single" w:color="0099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0"/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it-IT"/>
                <w14:textOutline>
                  <w14:noFill/>
                </w14:textOutline>
              </w:rPr>
              <w:t>Aperta, prima del 18 maggio poteva vendere solo per corrispondenza/a domicilio/per asporto</w:t>
            </w:r>
          </w:p>
        </w:tc>
        <w:tc>
          <w:tcPr>
            <w:tcW w:type="dxa" w:w="1085"/>
            <w:tcBorders>
              <w:top w:val="single" w:color="0099cc" w:sz="8" w:space="0" w:shadow="0" w:frame="0"/>
              <w:left w:val="single" w:color="0099cc" w:sz="8" w:space="0" w:shadow="0" w:frame="0"/>
              <w:bottom w:val="single" w:color="0099cc" w:sz="8" w:space="0" w:shadow="0" w:frame="0"/>
              <w:right w:val="single" w:color="0099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</w:tabs>
              <w:suppressAutoHyphens w:val="0"/>
              <w:jc w:val="right"/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it-IT"/>
                <w14:textOutline>
                  <w14:noFill/>
                </w14:textOutline>
              </w:rPr>
              <w:t>11</w:t>
            </w:r>
          </w:p>
        </w:tc>
        <w:tc>
          <w:tcPr>
            <w:tcW w:type="dxa" w:w="1335"/>
            <w:tcBorders>
              <w:top w:val="single" w:color="0099cc" w:sz="8" w:space="0" w:shadow="0" w:frame="0"/>
              <w:left w:val="single" w:color="0099cc" w:sz="8" w:space="0" w:shadow="0" w:frame="0"/>
              <w:bottom w:val="single" w:color="0099cc" w:sz="8" w:space="0" w:shadow="0" w:frame="0"/>
              <w:right w:val="single" w:color="0099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</w:tabs>
              <w:suppressAutoHyphens w:val="0"/>
              <w:jc w:val="right"/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it-IT"/>
                <w14:textOutline>
                  <w14:noFill/>
                </w14:textOutline>
              </w:rPr>
              <w:t>6,8%</w:t>
            </w:r>
          </w:p>
        </w:tc>
      </w:tr>
      <w:tr>
        <w:tblPrEx>
          <w:shd w:val="clear" w:color="auto" w:fill="d0ddef"/>
        </w:tblPrEx>
        <w:trPr>
          <w:trHeight w:val="283" w:hRule="atLeast"/>
        </w:trPr>
        <w:tc>
          <w:tcPr>
            <w:tcW w:type="dxa" w:w="5273"/>
            <w:tcBorders>
              <w:top w:val="single" w:color="0099cc" w:sz="8" w:space="0" w:shadow="0" w:frame="0"/>
              <w:left w:val="single" w:color="0099cc" w:sz="8" w:space="0" w:shadow="0" w:frame="0"/>
              <w:bottom w:val="single" w:color="0099cc" w:sz="8" w:space="0" w:shadow="0" w:frame="0"/>
              <w:right w:val="single" w:color="0099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0"/>
            </w:pPr>
            <w:r>
              <w:rPr>
                <w:rFonts w:ascii="Calibri" w:hAnsi="Calibri"/>
                <w:b w:val="1"/>
                <w:bCs w:val="1"/>
                <w:outline w:val="0"/>
                <w:color w:val="c00000"/>
                <w:sz w:val="26"/>
                <w:szCs w:val="26"/>
                <w:u w:color="c00000"/>
                <w:shd w:val="nil" w:color="auto" w:fill="auto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C00000"/>
                  </w14:solidFill>
                </w14:textFill>
              </w:rPr>
              <w:t>Ancora chiusa</w:t>
            </w:r>
          </w:p>
        </w:tc>
        <w:tc>
          <w:tcPr>
            <w:tcW w:type="dxa" w:w="1085"/>
            <w:tcBorders>
              <w:top w:val="single" w:color="0099cc" w:sz="8" w:space="0" w:shadow="0" w:frame="0"/>
              <w:left w:val="single" w:color="0099cc" w:sz="8" w:space="0" w:shadow="0" w:frame="0"/>
              <w:bottom w:val="single" w:color="0099cc" w:sz="8" w:space="0" w:shadow="0" w:frame="0"/>
              <w:right w:val="single" w:color="0099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</w:tabs>
              <w:suppressAutoHyphens w:val="0"/>
              <w:jc w:val="right"/>
            </w:pPr>
            <w:r>
              <w:rPr>
                <w:rFonts w:ascii="Calibri" w:hAnsi="Calibri"/>
                <w:b w:val="1"/>
                <w:bCs w:val="1"/>
                <w:outline w:val="0"/>
                <w:color w:val="c00000"/>
                <w:sz w:val="26"/>
                <w:szCs w:val="26"/>
                <w:u w:color="c00000"/>
                <w:shd w:val="nil" w:color="auto" w:fill="auto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C00000"/>
                  </w14:solidFill>
                </w14:textFill>
              </w:rPr>
              <w:t>7</w:t>
            </w:r>
          </w:p>
        </w:tc>
        <w:tc>
          <w:tcPr>
            <w:tcW w:type="dxa" w:w="1335"/>
            <w:tcBorders>
              <w:top w:val="single" w:color="0099cc" w:sz="8" w:space="0" w:shadow="0" w:frame="0"/>
              <w:left w:val="single" w:color="0099cc" w:sz="8" w:space="0" w:shadow="0" w:frame="0"/>
              <w:bottom w:val="single" w:color="0099cc" w:sz="8" w:space="0" w:shadow="0" w:frame="0"/>
              <w:right w:val="single" w:color="0099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</w:tabs>
              <w:suppressAutoHyphens w:val="0"/>
              <w:jc w:val="right"/>
            </w:pPr>
            <w:r>
              <w:rPr>
                <w:rFonts w:ascii="Calibri" w:hAnsi="Calibri"/>
                <w:b w:val="1"/>
                <w:bCs w:val="1"/>
                <w:outline w:val="0"/>
                <w:color w:val="c00000"/>
                <w:sz w:val="26"/>
                <w:szCs w:val="26"/>
                <w:u w:color="c00000"/>
                <w:shd w:val="nil" w:color="auto" w:fill="auto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C00000"/>
                  </w14:solidFill>
                </w14:textFill>
              </w:rPr>
              <w:t>4,3%</w:t>
            </w:r>
          </w:p>
        </w:tc>
      </w:tr>
      <w:tr>
        <w:tblPrEx>
          <w:shd w:val="clear" w:color="auto" w:fill="d0ddef"/>
        </w:tblPrEx>
        <w:trPr>
          <w:trHeight w:val="283" w:hRule="atLeast"/>
        </w:trPr>
        <w:tc>
          <w:tcPr>
            <w:tcW w:type="dxa" w:w="5273"/>
            <w:tcBorders>
              <w:top w:val="single" w:color="0099cc" w:sz="8" w:space="0" w:shadow="0" w:frame="0"/>
              <w:left w:val="single" w:color="0099cc" w:sz="8" w:space="0" w:shadow="0" w:frame="0"/>
              <w:bottom w:val="single" w:color="0099cc" w:sz="8" w:space="0" w:shadow="0" w:frame="0"/>
              <w:right w:val="single" w:color="0099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0"/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it-IT"/>
                <w14:textOutline>
                  <w14:noFill/>
                </w14:textOutline>
              </w:rPr>
              <w:t>Totale</w:t>
            </w:r>
          </w:p>
        </w:tc>
        <w:tc>
          <w:tcPr>
            <w:tcW w:type="dxa" w:w="1085"/>
            <w:tcBorders>
              <w:top w:val="single" w:color="0099cc" w:sz="8" w:space="0" w:shadow="0" w:frame="0"/>
              <w:left w:val="single" w:color="0099cc" w:sz="8" w:space="0" w:shadow="0" w:frame="0"/>
              <w:bottom w:val="single" w:color="0099cc" w:sz="8" w:space="0" w:shadow="0" w:frame="0"/>
              <w:right w:val="single" w:color="0099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</w:tabs>
              <w:suppressAutoHyphens w:val="0"/>
              <w:jc w:val="right"/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it-IT"/>
                <w14:textOutline>
                  <w14:noFill/>
                </w14:textOutline>
              </w:rPr>
              <w:t>161</w:t>
            </w:r>
          </w:p>
        </w:tc>
        <w:tc>
          <w:tcPr>
            <w:tcW w:type="dxa" w:w="1335"/>
            <w:tcBorders>
              <w:top w:val="single" w:color="0099cc" w:sz="8" w:space="0" w:shadow="0" w:frame="0"/>
              <w:left w:val="single" w:color="0099cc" w:sz="8" w:space="0" w:shadow="0" w:frame="0"/>
              <w:bottom w:val="single" w:color="0099cc" w:sz="8" w:space="0" w:shadow="0" w:frame="0"/>
              <w:right w:val="single" w:color="0099c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</w:tabs>
              <w:suppressAutoHyphens w:val="0"/>
              <w:jc w:val="right"/>
            </w:pP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it-IT"/>
                <w14:textOutline>
                  <w14:noFill/>
                </w14:textOutline>
              </w:rPr>
              <w:t>100,0%</w:t>
            </w:r>
          </w:p>
        </w:tc>
      </w:tr>
    </w:tbl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20"/>
        <w:jc w:val="center"/>
        <w:rPr>
          <w:rFonts w:ascii="Calibri" w:cs="Calibri" w:hAnsi="Calibri" w:eastAsia="Calibri"/>
          <w:b w:val="1"/>
          <w:bCs w:val="1"/>
          <w:sz w:val="24"/>
          <w:szCs w:val="24"/>
          <w14:textOutline>
            <w14:noFill/>
          </w14:textOutline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20" w:line="259" w:lineRule="auto"/>
        <w:jc w:val="both"/>
        <w:rPr>
          <w:rFonts w:ascii="Calibri" w:cs="Calibri" w:hAnsi="Calibri" w:eastAsia="Calibri"/>
          <w:b w:val="1"/>
          <w:bCs w:val="1"/>
          <w:sz w:val="24"/>
          <w:szCs w:val="24"/>
          <w14:textOutline>
            <w14:noFill/>
          </w14:textOutline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60" w:line="259" w:lineRule="auto"/>
        <w:jc w:val="both"/>
      </w:pPr>
      <w:r>
        <w:rPr>
          <w:rFonts w:ascii="Calibri" w:cs="Calibri" w:hAnsi="Calibri" w:eastAsia="Calibri"/>
          <w:sz w:val="26"/>
          <w:szCs w:val="26"/>
          <w14:textOutline>
            <w14:noFill/>
          </w14:textOutline>
        </w:rPr>
      </w:r>
    </w:p>
    <w:sectPr>
      <w:headerReference w:type="default" r:id="rId5"/>
      <w:footerReference w:type="default" r:id="rId6"/>
      <w:pgSz w:w="11900" w:h="16840" w:orient="portrait"/>
      <w:pgMar w:top="3521" w:right="1346" w:bottom="426" w:left="993" w:header="284" w:footer="113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jc w:val="center"/>
    </w:pPr>
    <w: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819146</wp:posOffset>
              </wp:positionH>
              <wp:positionV relativeFrom="page">
                <wp:posOffset>1685925</wp:posOffset>
              </wp:positionV>
              <wp:extent cx="5619140" cy="439437"/>
              <wp:effectExtent l="0" t="0" r="0" b="0"/>
              <wp:wrapNone/>
              <wp:docPr id="1073741828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9140" cy="439437"/>
                        <a:chOff x="-1" y="-1"/>
                        <a:chExt cx="5619139" cy="439436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-2" y="-2"/>
                          <a:ext cx="5619139" cy="429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image.png" descr="imag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rcRect l="0" t="70538" r="0" b="0"/>
                        <a:stretch>
                          <a:fillRect/>
                        </a:stretch>
                      </pic:blipFill>
                      <pic:spPr>
                        <a:xfrm>
                          <a:off x="2" y="9527"/>
                          <a:ext cx="5619137" cy="42990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64.5pt;margin-top:132.8pt;width:442.5pt;height:34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-1,-1" coordsize="5619140,439436">
              <w10:wrap type="none" side="bothSides" anchorx="page" anchory="page"/>
              <v:rect id="_x0000_s1027" style="position:absolute;left:-1;top:-1;width:5619137;height:429908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2;top:9527;width:5619136;height:429908;">
                <v:imagedata r:id="rId1" o:title="image1.png" croptop="70.5%"/>
              </v:shape>
            </v:group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595629</wp:posOffset>
              </wp:positionH>
              <wp:positionV relativeFrom="page">
                <wp:posOffset>1586860</wp:posOffset>
              </wp:positionV>
              <wp:extent cx="6190616" cy="89539"/>
              <wp:effectExtent l="0" t="0" r="0" b="0"/>
              <wp:wrapNone/>
              <wp:docPr id="1073741829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0616" cy="89539"/>
                      </a:xfrm>
                      <a:prstGeom prst="rect">
                        <a:avLst/>
                      </a:prstGeom>
                      <a:solidFill>
                        <a:srgbClr val="023B80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9" style="visibility:visible;position:absolute;margin-left:46.9pt;margin-top:124.9pt;width:487.5pt;height:7.1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023B80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</w:p>
  <w:p>
    <w:pPr>
      <w:pStyle w:val="Normal.0"/>
      <w:jc w:val="center"/>
    </w:pPr>
    <w:r>
      <w:drawing>
        <wp:inline distT="0" distB="0" distL="0" distR="0">
          <wp:extent cx="2820069" cy="1409326"/>
          <wp:effectExtent l="0" t="0" r="0" b="0"/>
          <wp:docPr id="1073741825" name="officeArt object" descr="image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 descr="image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0069" cy="140932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chart" Target="charts/chart1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jpeg"/></Relationships>

</file>

<file path=word/charts/_rels/chart1.xml.rels><?xml version="1.0" encoding="UTF-8"?>
<Relationships xmlns="http://schemas.openxmlformats.org/package/2006/relationships"><Relationship Id="rId1" Type="http://schemas.openxmlformats.org/officeDocument/2006/relationships/package" Target="../embeddings/Microsoft_Excel_Sheet1.xlsx"/></Relationships>
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roundedCorners val="0"/>
  <c:chart>
    <c:title>
      <c:tx>
        <c:rich>
          <a:bodyPr rot="0"/>
          <a:lstStyle/>
          <a:p>
            <a:pPr>
              <a:defRPr b="0" i="0" strike="noStrike" sz="1400" u="none">
                <a:solidFill>
                  <a:srgbClr val="000000"/>
                </a:solidFill>
                <a:latin typeface="Calibri"/>
              </a:defRPr>
            </a:pPr>
            <a:r>
              <a:rPr b="0" i="0" strike="noStrike" sz="1400" u="none">
                <a:solidFill>
                  <a:srgbClr val="000000"/>
                </a:solidFill>
                <a:latin typeface="Calibri"/>
              </a:rPr>
              <a:t>Previsione sulla variazione % del fatturato annuo 2020 rispetto al 2019, imprese artigiane per comparto, provincia di Udine
Fonte: Indagini Ufficio Studi Confartigianato-Imprese Udine</a:t>
            </a:r>
          </a:p>
        </c:rich>
      </c:tx>
      <c:layout>
        <c:manualLayout>
          <c:xMode val="edge"/>
          <c:yMode val="edge"/>
          <c:x val="0"/>
          <c:y val="0"/>
          <c:w val="1"/>
          <c:h val="0.212666"/>
        </c:manualLayout>
      </c:layout>
      <c:overlay val="1"/>
      <c:spPr>
        <a:noFill/>
        <a:effectLst/>
      </c:spPr>
    </c:title>
    <c:autoTitleDeleted val="1"/>
    <c:plotArea>
      <c:layout>
        <c:manualLayout>
          <c:layoutTarget val="inner"/>
          <c:xMode val="edge"/>
          <c:yMode val="edge"/>
          <c:x val="0.0214638"/>
          <c:y val="0.212666"/>
          <c:w val="0.973536"/>
          <c:h val="0.49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VAR %</c:v>
                </c:pt>
              </c:strCache>
            </c:strRef>
          </c:tx>
          <c:spPr>
            <a:solidFill>
              <a:srgbClr val="33CCCC"/>
            </a:solidFill>
            <a:ln w="9525" cap="flat">
              <a:solidFill>
                <a:srgbClr val="000000"/>
              </a:solidFill>
              <a:prstDash val="solid"/>
              <a:round/>
            </a:ln>
            <a:effectLst/>
          </c:spPr>
          <c:invertIfNegative val="0"/>
          <c:dLbls>
            <c:numFmt formatCode="0%" sourceLinked="0"/>
            <c:txPr>
              <a:bodyPr/>
              <a:lstStyle/>
              <a:p>
                <a:pPr>
                  <a:defRPr b="1" i="0" strike="noStrike" sz="1100" u="none">
                    <a:solidFill>
                      <a:srgbClr val="C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Sheet1!$B$1:$J$1</c:f>
              <c:strCache>
                <c:ptCount val="9"/>
                <c:pt idx="0">
                  <c:v>ALIMENTAZIONE</c:v>
                </c:pt>
                <c:pt idx="1">
                  <c:v>COMUNICAZIONE
 SERVIZI E TERZIARIO</c:v>
                </c:pt>
                <c:pt idx="2">
                  <c:v>COSTRUZIONI</c:v>
                </c:pt>
                <c:pt idx="3">
                  <c:v>LEGNO
E ARREDO</c:v>
                </c:pt>
                <c:pt idx="4">
                  <c:v>BENESSERE</c:v>
                </c:pt>
                <c:pt idx="5">
                  <c:v>IMPIANTI</c:v>
                </c:pt>
                <c:pt idx="6">
                  <c:v>AUTORIPARAZIONI
E TRASPORTI</c:v>
                </c:pt>
                <c:pt idx="7">
                  <c:v>MANIFATTURE
E SUBFORNITURE</c:v>
                </c:pt>
                <c:pt idx="8">
                  <c:v>ARTISTICO
E MODA</c:v>
                </c:pt>
              </c:strCache>
            </c:strRef>
          </c:cat>
          <c:val>
            <c:numRef>
              <c:f>Sheet1!$B$2:$J$2</c:f>
              <c:numCache>
                <c:ptCount val="9"/>
                <c:pt idx="0">
                  <c:v>-0.240000</c:v>
                </c:pt>
                <c:pt idx="1">
                  <c:v>-0.287500</c:v>
                </c:pt>
                <c:pt idx="2">
                  <c:v>-0.288889</c:v>
                </c:pt>
                <c:pt idx="3">
                  <c:v>-0.302500</c:v>
                </c:pt>
                <c:pt idx="4">
                  <c:v>-0.352000</c:v>
                </c:pt>
                <c:pt idx="5">
                  <c:v>-0.418421</c:v>
                </c:pt>
                <c:pt idx="6">
                  <c:v>-0.425000</c:v>
                </c:pt>
                <c:pt idx="7">
                  <c:v>-0.440909</c:v>
                </c:pt>
                <c:pt idx="8">
                  <c:v>-0.490909</c:v>
                </c:pt>
              </c:numCache>
            </c:numRef>
          </c:val>
        </c:ser>
        <c:gapWidth val="110"/>
        <c:overlap val="-27"/>
        <c:axId val="2094734552"/>
        <c:axId val="2094734553"/>
      </c:barChart>
      <c:catAx>
        <c:axId val="20947345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spPr>
          <a:ln w="12700" cap="flat">
            <a:solidFill>
              <a:srgbClr val="888888"/>
            </a:solidFill>
            <a:prstDash val="solid"/>
            <a:miter lim="800000"/>
          </a:ln>
        </c:spPr>
        <c:txPr>
          <a:bodyPr rot="-5400000"/>
          <a:lstStyle/>
          <a:p>
            <a:pPr>
              <a:defRPr b="0" i="0" strike="noStrike" sz="900" u="none">
                <a:solidFill>
                  <a:srgbClr val="000000"/>
                </a:solidFill>
                <a:latin typeface="Calibri"/>
              </a:defRPr>
            </a:pPr>
          </a:p>
        </c:txPr>
        <c:crossAx val="2094734553"/>
        <c:crosses val="autoZero"/>
        <c:auto val="1"/>
        <c:lblAlgn val="ctr"/>
        <c:noMultiLvlLbl val="1"/>
      </c:catAx>
      <c:valAx>
        <c:axId val="2094734553"/>
        <c:scaling>
          <c:orientation val="minMax"/>
        </c:scaling>
        <c:delete val="0"/>
        <c:axPos val="l"/>
        <c:numFmt formatCode="0%" sourceLinked="0"/>
        <c:majorTickMark val="none"/>
        <c:minorTickMark val="none"/>
        <c:tickLblPos val="none"/>
        <c:spPr>
          <a:ln w="12700" cap="flat">
            <a:noFill/>
            <a:prstDash val="solid"/>
            <a:miter lim="800000"/>
          </a:ln>
        </c:spPr>
        <c:txPr>
          <a:bodyPr rot="0"/>
          <a:lstStyle/>
          <a:p>
            <a:pPr>
              <a:defRPr b="0" i="0" strike="noStrike" sz="1000" u="none">
                <a:solidFill>
                  <a:srgbClr val="000000"/>
                </a:solidFill>
                <a:latin typeface="Calibri"/>
              </a:defRPr>
            </a:pPr>
          </a:p>
        </c:txPr>
        <c:crossAx val="2094734552"/>
        <c:crosses val="autoZero"/>
        <c:crossBetween val="between"/>
        <c:majorUnit val="0.125"/>
        <c:minorUnit val="0.0625"/>
      </c:valAx>
      <c:spPr>
        <a:noFill/>
        <a:ln w="12700" cap="flat">
          <a:noFill/>
          <a:miter lim="400000"/>
        </a:ln>
        <a:effectLst/>
      </c:spPr>
    </c:plotArea>
    <c:plotVisOnly val="1"/>
    <c:dispBlanksAs val="gap"/>
  </c:chart>
  <c:spPr>
    <a:solidFill>
      <a:srgbClr val="FFFFFF"/>
    </a:solidFill>
    <a:ln>
      <a:noFill/>
    </a:ln>
    <a:effectLst/>
  </c:spPr>
  <c:externalData r:id="rId1">
    <c:autoUpdate val="0"/>
  </c:externalData>
</c:chartSpace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