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Udine, 13 gennaio 2020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Style w:val="Nessuno"/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rtl w:val="0"/>
          <w:lang w:val="it-IT"/>
        </w:rPr>
        <w:t xml:space="preserve">TUTTI INSIEME PER IL </w:t>
      </w: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 xml:space="preserve">FUTURO DEL MALIGNANI DI SAN GIOVANNI AL NATISONE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Style w:val="Nessuno"/>
          <w:rFonts w:ascii="Avenir Heavy" w:cs="Avenir Heavy" w:hAnsi="Avenir Heavy" w:eastAsia="Avenir Heavy"/>
          <w:sz w:val="24"/>
          <w:szCs w:val="24"/>
        </w:rPr>
      </w:pP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 xml:space="preserve">COMUNE, SCUOLA E  SINDACATO IN CAMPO PER EVITARNE LA CHIUSURA 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Style w:val="Nessuno"/>
          <w:rFonts w:ascii="Avenir Heavy" w:cs="Avenir Heavy" w:hAnsi="Avenir Heavy" w:eastAsia="Avenir Heavy"/>
          <w:sz w:val="24"/>
          <w:szCs w:val="24"/>
        </w:rPr>
      </w:pP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 xml:space="preserve">MAURIG (CONFARTIGIANATO UDINE): </w:t>
      </w:r>
      <w:r>
        <w:rPr>
          <w:rStyle w:val="Nessuno"/>
          <w:rFonts w:ascii="Avenir Heavy" w:hAnsi="Avenir Heavy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>I NUMERI PER TENERE APERTO CI SONO, LAVORIAMO INSIEME PER GARANTIRE AL TERRITORIO E ALLE AZIENDE DEL DISTRETTO QUESTO FONDAMENTALE PRESIDIO D</w:t>
      </w:r>
      <w:r>
        <w:rPr>
          <w:rStyle w:val="Nessuno"/>
          <w:rFonts w:ascii="Avenir Heavy" w:hAnsi="Avenir Heavy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>ISTRUZIONE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Tutti insieme per garantire un futuro alla sede staccata del Malignani a San Giovanni al Natisone. Confartigianato-Imprese Udine si schiera in prima fila accanto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amministrazione comunale che nei giorni scorsi ha chiamato a raccolta i vertici della scuola, i Comuni limitrofi, le associazioni sindacali dei lavoratori oltre a quelle datoriali, per mettere a sistema le rispettive forze con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obiettivo di rilanciare la sede scolastica, il cui futuro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annualmente ipotecato dal piano di dimensionamento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che prevede un minimo di studenti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per le sedi periferiche. Un miraggio per la scuola di San Giovanni al Natisone che oscilla tra i 70 e gli 80 studenti.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Ogni anno - spiega il dirigente scolastico del Malignani, Andrea Carletti - chiediamo alla Regione una deroga sapendo di essere sotto il tetto richiesto. Al di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dei numeri, la nostra scuola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un presidio importante per il territorio, che non ha altri istituti scolastici. Prima di chiuderla bisogna andare con i piedi di piombo e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Ufficio scolastico regionale lo sa bene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 xml:space="preserve">Potenziali studenti.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arco della scuola, Confartigianato Udine ha portato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indagine condotta dall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Ufficio studi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associazione che dimostra, numeri alla mano, come la sede staccata disponga di un consistente bacino di potenziali studenti. In totale, considerati i ragazzi residenti nei comuni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ex distretto della sedia con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aggiunta di alcuni altri situati sulla direttrice ferroviaria Udine-Gorizia, di et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compresa tra i 10 e i 16 anni, il bacino totale di studenti oscilla tra le 400 e le 500 unit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anno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. Di questi, considerate le percentuali di studenti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area iscritti a istituti professionali per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industria e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artigianato (8,8%) e agli istituti industriali (14,3%) in Fvg, quelli che potrebbero iscriversi ai due indirizzi di studio del Malignani di San Giovanni vanno dai 100 ai 111 al massimo.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Significa - commenta il presidente zonale del Friuli Orientale di Confartigianato-Imprese Udine, Giusto Maurig - che dal punto di vista demografico i numeri per i corsi ci sono e ci saranno anche nei prossimi anni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. Nonostante questo le imprese faticano, ormai da tempo, a trovare profili adeguati alle proprie necessit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>Sos tecnici.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Confartigianato-Imprese Udine lo denuncia ancora una volta report alla mano.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Per gli indirizzi di studio pi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direttamente correlati con le proposte del Malignani - spiega Maurig -, le maggiori difficolt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di reperimento di manodopera si incontrano per la riparazione dei veicoli (55,2%), per gli impiantisti termoidraulici (51,3%),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elettronica (50%) e la meccanica (49,2%)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elettronica e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elettrotecnica (49,3%).  Per i diplomati a indirizzo meccanica, meccatronica ed energia la percentuale di assunzioni di difficile reperimento si attesta sul 47,3%, per quelli con qualifica di formazione o diploma professionale a indirizzo legno la percentuale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del 40,3%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. Cifre (fornite dal sistema Excelsior di Unioncamere) che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confermano dunque l</w:t>
      </w:r>
      <w:r>
        <w:rPr>
          <w:rStyle w:val="Nessuno"/>
          <w:rFonts w:ascii="Calibri" w:cs="Calibri" w:hAnsi="Calibri" w:eastAsia="Calibri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attuale carenza sul mercato del lavoro di profili coerenti con gli indirizzi di studio proposti dal Malignani e questo a dispetto della necessit</w:t>
      </w:r>
      <w:r>
        <w:rPr>
          <w:rStyle w:val="Nessuno"/>
          <w:rFonts w:ascii="Calibri" w:cs="Calibri" w:hAnsi="Calibri" w:eastAsia="Calibri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di personale delle imprese, comprese le 623 imprese della filiera legno-arredo ancora attive nel distretto, di cui 2 su 3 sono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artigiane, che da sole danno lavoro a oltre 2.100 addetti.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Heavy" w:hAnsi="Avenir Heavy"/>
          <w:sz w:val="24"/>
          <w:szCs w:val="24"/>
          <w:rtl w:val="0"/>
          <w:lang w:val="it-IT"/>
        </w:rPr>
        <w:t>Progetto di rilancio.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A discuterne si sono ritrovati il sindaco Carlo Pali insieme al responsabile della sede staccata del Malignani, Alberto Della Piana, alla responsabile della Cisl di Udine, Renata della Ricca e al segretario della CGIL di Udine, Natalino Giacomini, a Paolo Zorzenone di Confapi FVG e ancora ai capogategoria provinciali dei seggiolai e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arredo di Confartigianato-Udine, Alberto Dalmasson e Mauro Damiani, oltre al consigliere del Movimento giovani Nicola Giarle e al presidente di zona Giusto Maurig. Dal tavolo sono emerse diverse proposte.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Anzitutto verificheremo se sia possibile modificare e istituire nuove tratte del trasporto pubblico locale per collegare meglio la sede scolastica al territorio - ha dichiarato a margine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incontro il sindaco -. Bisogna poi che raccontiamo meglio la realt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di questa scuola, erroneamente identificata come un plesso che sforna professionalit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di basso livello quando invece produce tecnici di spessore capaci di governare le ultime macchine a controllo numerico. Per capirci - ha aggiunto Pali - uno che esce dal Malignani di San Giovanni ha il lavoro assicurato. Cerchiamo dunque insieme di stimolare le iscrizioni. Valutando anche la possibilit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di istituire un Its, un percorso formativo post diploma, che dia al territorio figure specializzate. Insomma - ha concluso - facciamo il possibile per rilanciare questa scuola perch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se chiude non perde solo San Giovanni al Natisone, perdiamo tutti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Addetto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3478794338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mauradellecase@gmail.com 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1" cy="43943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1" cy="439430"/>
                        <a:chOff x="-1" y="0"/>
                        <a:chExt cx="5619130" cy="43942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31" cy="42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9" cy="4299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0,439430">
              <w10:wrap type="none" side="bothSides" anchorx="page" anchory="page"/>
              <v:rect id="_x0000_s1027" style="position:absolute;left:-1;top:-1;width:5619129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7;height:429904;">
                <v:imagedata r:id="rId1" o:title="image1.png" croptop="70.5%" cropbottom="0.0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rPr>
        <w:rStyle w:val="Nessuno"/>
      </w:rP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Intest. piè pagina">
    <w:name w:val="Intest. piè pagina"/>
    <w:next w:val="Intest.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