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sz w:val="28"/>
          <w:szCs w:val="28"/>
        </w:rPr>
      </w:pPr>
    </w:p>
    <w:p>
      <w:pPr>
        <w:pStyle w:val="Normal.0"/>
        <w:jc w:val="center"/>
        <w:rPr>
          <w:rStyle w:val="Nessuno"/>
          <w:rFonts w:ascii="Calibri" w:cs="Calibri" w:hAnsi="Calibri" w:eastAsia="Calibri"/>
          <w:b w:val="1"/>
          <w:bCs w:val="1"/>
        </w:rPr>
      </w:pPr>
      <w:r>
        <w:rPr>
          <w:rStyle w:val="Nessuno"/>
          <w:rFonts w:ascii="Calibri" w:cs="Calibri" w:hAnsi="Calibri" w:eastAsia="Calibri"/>
          <w:b w:val="1"/>
          <w:bCs w:val="1"/>
          <w:rtl w:val="0"/>
          <w:lang w:val="it-IT"/>
        </w:rPr>
        <w:t xml:space="preserve">IL NATALE TRAINA LA SPESA ALIMENTARE: </w:t>
      </w:r>
    </w:p>
    <w:p>
      <w:pPr>
        <w:pStyle w:val="Normal.0"/>
        <w:jc w:val="center"/>
        <w:rPr>
          <w:rStyle w:val="Nessuno"/>
          <w:rFonts w:ascii="Calibri" w:cs="Calibri" w:hAnsi="Calibri" w:eastAsia="Calibri"/>
          <w:b w:val="1"/>
          <w:bCs w:val="1"/>
        </w:rPr>
      </w:pPr>
      <w:r>
        <w:rPr>
          <w:rStyle w:val="Nessuno"/>
          <w:rFonts w:ascii="Calibri" w:cs="Calibri" w:hAnsi="Calibri" w:eastAsia="Calibri"/>
          <w:b w:val="1"/>
          <w:bCs w:val="1"/>
          <w:rtl w:val="0"/>
          <w:lang w:val="it-IT"/>
        </w:rPr>
        <w:t xml:space="preserve">A DICEMBRE LE FAMIGLIE FVG SPENDERANNO 300 MILIONI DI EURO </w:t>
      </w:r>
    </w:p>
    <w:p>
      <w:pPr>
        <w:pStyle w:val="Normal.0"/>
        <w:jc w:val="center"/>
        <w:rPr>
          <w:rStyle w:val="Nessuno"/>
          <w:rFonts w:ascii="Calibri" w:cs="Calibri" w:hAnsi="Calibri" w:eastAsia="Calibri"/>
          <w:b w:val="1"/>
          <w:bCs w:val="1"/>
          <w:sz w:val="28"/>
          <w:szCs w:val="28"/>
        </w:rPr>
      </w:pPr>
      <w:r>
        <w:rPr>
          <w:rStyle w:val="Nessuno"/>
          <w:rFonts w:ascii="Calibri" w:cs="Calibri" w:hAnsi="Calibri" w:eastAsia="Calibri"/>
          <w:b w:val="1"/>
          <w:bCs w:val="1"/>
          <w:rtl w:val="0"/>
          <w:lang w:val="it-IT"/>
        </w:rPr>
        <w:t>POCO MENO DELLA MET</w:t>
      </w:r>
      <w:r>
        <w:rPr>
          <w:rStyle w:val="Nessuno"/>
          <w:rFonts w:ascii="Calibri" w:cs="Calibri" w:hAnsi="Calibri" w:eastAsia="Calibri"/>
          <w:b w:val="1"/>
          <w:bCs w:val="1"/>
          <w:rtl w:val="0"/>
          <w:lang w:val="it-IT"/>
        </w:rPr>
        <w:t xml:space="preserve">À </w:t>
      </w:r>
      <w:r>
        <w:rPr>
          <w:rStyle w:val="Nessuno"/>
          <w:rFonts w:ascii="Calibri" w:cs="Calibri" w:hAnsi="Calibri" w:eastAsia="Calibri"/>
          <w:b w:val="1"/>
          <w:bCs w:val="1"/>
          <w:rtl w:val="0"/>
          <w:lang w:val="it-IT"/>
        </w:rPr>
        <w:t>(140 MILIONI) INTERESSERANNO L</w:t>
      </w:r>
      <w:r>
        <w:rPr>
          <w:rStyle w:val="Nessuno"/>
          <w:rFonts w:ascii="Calibri" w:cs="Calibri" w:hAnsi="Calibri" w:eastAsia="Calibri"/>
          <w:b w:val="1"/>
          <w:bCs w:val="1"/>
          <w:rtl w:val="0"/>
          <w:lang w:val="it-IT"/>
        </w:rPr>
        <w:t>’</w:t>
      </w:r>
      <w:r>
        <w:rPr>
          <w:rStyle w:val="Nessuno"/>
          <w:rFonts w:ascii="Calibri" w:cs="Calibri" w:hAnsi="Calibri" w:eastAsia="Calibri"/>
          <w:b w:val="1"/>
          <w:bCs w:val="1"/>
          <w:rtl w:val="0"/>
          <w:lang w:val="it-IT"/>
        </w:rPr>
        <w:t>ARTIGIANATO</w:t>
      </w:r>
    </w:p>
    <w:p>
      <w:pPr>
        <w:pStyle w:val="Normal.0"/>
        <w:jc w:val="center"/>
        <w:rPr>
          <w:b w:val="1"/>
          <w:bCs w:val="1"/>
          <w:sz w:val="28"/>
          <w:szCs w:val="28"/>
        </w:rPr>
      </w:pPr>
    </w:p>
    <w:p>
      <w:pPr>
        <w:pStyle w:val="Normal.0"/>
        <w:jc w:val="both"/>
        <w:rPr>
          <w:rStyle w:val="Nessuno"/>
          <w:rFonts w:ascii="Avenir Book" w:cs="Avenir Book" w:hAnsi="Avenir Book" w:eastAsia="Avenir Book"/>
          <w:sz w:val="20"/>
          <w:szCs w:val="20"/>
        </w:rPr>
      </w:pPr>
      <w:r>
        <w:rPr>
          <w:rStyle w:val="Nessuno"/>
          <w:rFonts w:ascii="Avenir Book" w:hAnsi="Avenir Book"/>
          <w:sz w:val="20"/>
          <w:szCs w:val="20"/>
          <w:rtl w:val="0"/>
          <w:lang w:val="it-IT"/>
        </w:rPr>
        <w:t>Come accade puntualmente ogni Natale, a dicembre la spesa alimentare delle famiglie registra un</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impennata che in Fvg vale circa 51 milioni, tanti se ne spenderanno in pi</w:t>
      </w:r>
      <w:r>
        <w:rPr>
          <w:rStyle w:val="Nessuno"/>
          <w:rFonts w:ascii="Avenir Book" w:hAnsi="Avenir Book" w:hint="default"/>
          <w:sz w:val="20"/>
          <w:szCs w:val="20"/>
          <w:rtl w:val="0"/>
          <w:lang w:val="it-IT"/>
        </w:rPr>
        <w:t xml:space="preserve">ù </w:t>
      </w:r>
      <w:r>
        <w:rPr>
          <w:rStyle w:val="Nessuno"/>
          <w:rFonts w:ascii="Avenir Book" w:hAnsi="Avenir Book"/>
          <w:sz w:val="20"/>
          <w:szCs w:val="20"/>
          <w:rtl w:val="0"/>
          <w:lang w:val="it-IT"/>
        </w:rPr>
        <w:t>rispetto agli altri mesi dell</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anno per imbandire le tavole di casa nostra il 25 dicembre e mettere sotto l</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albero regali che sempre pi</w:t>
      </w:r>
      <w:r>
        <w:rPr>
          <w:rStyle w:val="Nessuno"/>
          <w:rFonts w:ascii="Avenir Book" w:hAnsi="Avenir Book" w:hint="default"/>
          <w:sz w:val="20"/>
          <w:szCs w:val="20"/>
          <w:rtl w:val="0"/>
          <w:lang w:val="it-IT"/>
        </w:rPr>
        <w:t xml:space="preserve">ù </w:t>
      </w:r>
      <w:r>
        <w:rPr>
          <w:rStyle w:val="Nessuno"/>
          <w:rFonts w:ascii="Avenir Book" w:hAnsi="Avenir Book"/>
          <w:sz w:val="20"/>
          <w:szCs w:val="20"/>
          <w:rtl w:val="0"/>
          <w:lang w:val="it-IT"/>
        </w:rPr>
        <w:t>spesso sono dedicati al palato. La maggior spesa porter</w:t>
      </w:r>
      <w:r>
        <w:rPr>
          <w:rStyle w:val="Nessuno"/>
          <w:rFonts w:ascii="Avenir Book" w:hAnsi="Avenir Book" w:hint="default"/>
          <w:sz w:val="20"/>
          <w:szCs w:val="20"/>
          <w:rtl w:val="0"/>
          <w:lang w:val="it-IT"/>
        </w:rPr>
        <w:t xml:space="preserve">à </w:t>
      </w:r>
      <w:r>
        <w:rPr>
          <w:rStyle w:val="Nessuno"/>
          <w:rFonts w:ascii="Avenir Book" w:hAnsi="Avenir Book"/>
          <w:sz w:val="20"/>
          <w:szCs w:val="20"/>
          <w:rtl w:val="0"/>
          <w:lang w:val="it-IT"/>
        </w:rPr>
        <w:t>il mese di dicembre a un totale record: le famiglie Fvg spenderanno infatti complessivamente 300 milioni di euro, il 20% in pi</w:t>
      </w:r>
      <w:r>
        <w:rPr>
          <w:rStyle w:val="Nessuno"/>
          <w:rFonts w:ascii="Avenir Book" w:hAnsi="Avenir Book" w:hint="default"/>
          <w:sz w:val="20"/>
          <w:szCs w:val="20"/>
          <w:rtl w:val="0"/>
          <w:lang w:val="it-IT"/>
        </w:rPr>
        <w:t xml:space="preserve">ù </w:t>
      </w:r>
      <w:r>
        <w:rPr>
          <w:rStyle w:val="Nessuno"/>
          <w:rFonts w:ascii="Avenir Book" w:hAnsi="Avenir Book"/>
          <w:sz w:val="20"/>
          <w:szCs w:val="20"/>
          <w:rtl w:val="0"/>
          <w:lang w:val="it-IT"/>
        </w:rPr>
        <w:t>rispetto alla media mensile annua. Lo stima l</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 xml:space="preserve">ufficio Studi di Confartigianato-Imprese Udine sulla base dei dati Istat relativi alla spesa media mensile. Nel mese in corso si prevede che le oltre 562mila famiglie del Friuli Venezia Giulia spenderanno 306 milioni di Euro (oltre il 2% del totale nazionale di 14.923 milioni) in dolciumi, prodotti alimentari, vino e altre bevande, con una media di oltre 540 euro per famiglia. </w:t>
      </w:r>
    </w:p>
    <w:p>
      <w:pPr>
        <w:pStyle w:val="Normal.0"/>
        <w:jc w:val="both"/>
        <w:rPr>
          <w:rStyle w:val="Nessuno"/>
          <w:rFonts w:ascii="Avenir Book" w:cs="Avenir Book" w:hAnsi="Avenir Book" w:eastAsia="Avenir Book"/>
          <w:sz w:val="20"/>
          <w:szCs w:val="20"/>
        </w:rPr>
      </w:pPr>
      <w:r>
        <w:rPr>
          <w:rStyle w:val="Nessuno"/>
          <w:rFonts w:ascii="Avenir Book" w:hAnsi="Avenir Book"/>
          <w:sz w:val="20"/>
          <w:szCs w:val="20"/>
          <w:rtl w:val="0"/>
          <w:lang w:val="it-IT"/>
        </w:rPr>
        <w:t>A Gorizia si spenderanno 36 milioni di euro ( il 12% del totale regionale), 66 a Trieste (21%), 73 a Pordenone (24%) e 132 a Udine (43%).</w:t>
      </w:r>
    </w:p>
    <w:p>
      <w:pPr>
        <w:pStyle w:val="Normal.0"/>
        <w:jc w:val="both"/>
        <w:rPr>
          <w:sz w:val="28"/>
          <w:szCs w:val="28"/>
        </w:rPr>
      </w:pPr>
    </w:p>
    <w:p>
      <w:pPr>
        <w:pStyle w:val="Normal.0"/>
        <w:spacing w:before="120" w:after="0"/>
        <w:jc w:val="center"/>
        <w:rPr>
          <w:rStyle w:val="Nessuno"/>
          <w:sz w:val="20"/>
          <w:szCs w:val="20"/>
        </w:rPr>
      </w:pPr>
      <w:r>
        <w:drawing>
          <wp:inline distT="0" distB="0" distL="0" distR="0">
            <wp:extent cx="2482358" cy="3171952"/>
            <wp:effectExtent l="0" t="0" r="0" b="0"/>
            <wp:docPr id="1073741826" name="officeArt object"/>
            <wp:cNvGraphicFramePr/>
            <a:graphic xmlns:a="http://schemas.openxmlformats.org/drawingml/2006/main">
              <a:graphicData uri="http://schemas.openxmlformats.org/drawingml/2006/chart">
                <c:chart xmlns:c="http://schemas.openxmlformats.org/drawingml/2006/chart" r:id="rId4"/>
              </a:graphicData>
            </a:graphic>
          </wp:inline>
        </w:drawing>
      </w:r>
    </w:p>
    <w:p>
      <w:pPr>
        <w:pStyle w:val="Normal.0"/>
        <w:spacing w:before="120" w:after="0"/>
        <w:jc w:val="center"/>
      </w:pPr>
      <w:r>
        <w:rPr>
          <w:rtl w:val="0"/>
          <w:lang w:val="it-IT"/>
        </w:rPr>
        <w:t>Fonte: Ufficio Studi Confartigianato-Imprese Udine su Ufficio Studi</w:t>
      </w:r>
      <w:r>
        <w:br w:type="textWrapping"/>
      </w:r>
      <w:r>
        <w:rPr>
          <w:rtl w:val="0"/>
          <w:lang w:val="it-IT"/>
        </w:rPr>
        <w:t>Confartigianato-Imprese nazionale - Istat</w:t>
      </w:r>
    </w:p>
    <w:p>
      <w:pPr>
        <w:pStyle w:val="Normal.0"/>
        <w:jc w:val="both"/>
        <w:rPr>
          <w:rStyle w:val="Nessuno"/>
          <w:rFonts w:ascii="Avenir Book" w:cs="Avenir Book" w:hAnsi="Avenir Book" w:eastAsia="Avenir Book"/>
          <w:sz w:val="20"/>
          <w:szCs w:val="20"/>
        </w:rPr>
      </w:pPr>
    </w:p>
    <w:p>
      <w:pPr>
        <w:pStyle w:val="Normal.0"/>
        <w:jc w:val="both"/>
        <w:rPr>
          <w:rStyle w:val="Nessuno"/>
          <w:rFonts w:ascii="Avenir Book" w:cs="Avenir Book" w:hAnsi="Avenir Book" w:eastAsia="Avenir Book"/>
          <w:sz w:val="28"/>
          <w:szCs w:val="28"/>
        </w:rPr>
      </w:pPr>
      <w:r>
        <w:rPr>
          <w:rStyle w:val="Nessuno"/>
          <w:rFonts w:ascii="Avenir Book" w:hAnsi="Avenir Book"/>
          <w:sz w:val="20"/>
          <w:szCs w:val="20"/>
          <w:rtl w:val="0"/>
          <w:lang w:val="it-IT"/>
        </w:rPr>
        <w:t>Le imprese artigiane attive in Fvg nel settore alimentazione sono 1.378, in crescita di 90 unit</w:t>
      </w:r>
      <w:r>
        <w:rPr>
          <w:rStyle w:val="Nessuno"/>
          <w:rFonts w:ascii="Avenir Book" w:hAnsi="Avenir Book" w:hint="default"/>
          <w:sz w:val="20"/>
          <w:szCs w:val="20"/>
          <w:rtl w:val="0"/>
          <w:lang w:val="it-IT"/>
        </w:rPr>
        <w:t xml:space="preserve">à </w:t>
      </w:r>
      <w:r>
        <w:rPr>
          <w:rStyle w:val="Nessuno"/>
          <w:rFonts w:ascii="Avenir Book" w:hAnsi="Avenir Book"/>
          <w:sz w:val="20"/>
          <w:szCs w:val="20"/>
          <w:rtl w:val="0"/>
          <w:lang w:val="it-IT"/>
        </w:rPr>
        <w:t>rispetto al 2009, anno d</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esordio della crisi economica, in lieve diminuzione se invece si guarda all</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anno passato. Rispetto al 21017 se ne sono perse 8 con un netto calo a Gorizia (-9 unit</w:t>
      </w:r>
      <w:r>
        <w:rPr>
          <w:rStyle w:val="Nessuno"/>
          <w:rFonts w:ascii="Avenir Book" w:hAnsi="Avenir Book" w:hint="default"/>
          <w:sz w:val="20"/>
          <w:szCs w:val="20"/>
          <w:rtl w:val="0"/>
          <w:lang w:val="it-IT"/>
        </w:rPr>
        <w:t>à</w:t>
      </w:r>
      <w:r>
        <w:rPr>
          <w:rStyle w:val="Nessuno"/>
          <w:rFonts w:ascii="Avenir Book" w:hAnsi="Avenir Book"/>
          <w:sz w:val="20"/>
          <w:szCs w:val="20"/>
          <w:rtl w:val="0"/>
          <w:lang w:val="it-IT"/>
        </w:rPr>
        <w:t>, -7%), una lieve flessione a Trieste (-2, -1%) e leggeri aumenti a Udine (+2) e Pordenone (+1). Gli addetti complessivi, sempre restando alle imprese artigiane del settore, sono 5.846, con una media di 4,2 per azienda. Di questi 2.020 sono indipendenti (35%), 3.826 dipendenti (65%). L</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 xml:space="preserve">export regionale del settore, nei primi 6 mesi del 2018, </w:t>
      </w:r>
      <w:r>
        <w:rPr>
          <w:rStyle w:val="Nessuno"/>
          <w:rFonts w:ascii="Avenir Book" w:hAnsi="Avenir Book" w:hint="default"/>
          <w:sz w:val="20"/>
          <w:szCs w:val="20"/>
          <w:rtl w:val="0"/>
          <w:lang w:val="it-IT"/>
        </w:rPr>
        <w:t xml:space="preserve">è </w:t>
      </w:r>
      <w:r>
        <w:rPr>
          <w:rStyle w:val="Nessuno"/>
          <w:rFonts w:ascii="Avenir Book" w:hAnsi="Avenir Book"/>
          <w:sz w:val="20"/>
          <w:szCs w:val="20"/>
          <w:rtl w:val="0"/>
          <w:lang w:val="it-IT"/>
        </w:rPr>
        <w:t>stato pari a 292 milioni per alimentari e 68 milioni per bevande, complessivamente in lieve calo il valore totale dei beni esportati, pari a 361 milioni rispetto all</w:t>
      </w:r>
      <w:r>
        <w:rPr>
          <w:rStyle w:val="Nessuno"/>
          <w:rFonts w:ascii="Avenir Book" w:hAnsi="Avenir Book" w:hint="default"/>
          <w:sz w:val="20"/>
          <w:szCs w:val="20"/>
          <w:rtl w:val="0"/>
          <w:lang w:val="it-IT"/>
        </w:rPr>
        <w:t>’</w:t>
      </w:r>
      <w:r>
        <w:rPr>
          <w:rStyle w:val="Nessuno"/>
          <w:rFonts w:ascii="Avenir Book" w:hAnsi="Avenir Book"/>
          <w:sz w:val="20"/>
          <w:szCs w:val="20"/>
          <w:rtl w:val="0"/>
          <w:lang w:val="it-IT"/>
        </w:rPr>
        <w:t>export dello stesso periodo 2017 (-0,7%).</w:t>
      </w:r>
    </w:p>
    <w:p>
      <w:pPr>
        <w:pStyle w:val="Normal.0"/>
        <w:rPr>
          <w:sz w:val="28"/>
          <w:szCs w:val="28"/>
        </w:rPr>
      </w:pPr>
    </w:p>
    <w:tbl>
      <w:tblPr>
        <w:tblW w:w="809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6"/>
        <w:gridCol w:w="1822"/>
        <w:gridCol w:w="1702"/>
        <w:gridCol w:w="1417"/>
        <w:gridCol w:w="1146"/>
      </w:tblGrid>
      <w:tr>
        <w:tblPrEx>
          <w:shd w:val="clear" w:color="auto" w:fill="ced7e7"/>
        </w:tblPrEx>
        <w:trPr>
          <w:trHeight w:val="317" w:hRule="atLeast"/>
        </w:trPr>
        <w:tc>
          <w:tcPr>
            <w:tcW w:type="dxa" w:w="2006"/>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6087"/>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Style w:val="Nessuno"/>
                <w:rtl w:val="0"/>
                <w:lang w:val="it-IT"/>
              </w:rPr>
              <w:t>Comparto alimentare e bevande al 30/09/2018</w:t>
            </w:r>
          </w:p>
        </w:tc>
      </w:tr>
      <w:tr>
        <w:tblPrEx>
          <w:shd w:val="clear" w:color="auto" w:fill="ced7e7"/>
        </w:tblPrEx>
        <w:trPr>
          <w:trHeight w:val="745" w:hRule="atLeast"/>
        </w:trPr>
        <w:tc>
          <w:tcPr>
            <w:tcW w:type="dxa" w:w="2006"/>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rStyle w:val="Nessuno"/>
                <w:rtl w:val="0"/>
                <w:lang w:val="it-IT"/>
              </w:rPr>
              <w:t>Provincia/regione</w:t>
            </w:r>
          </w:p>
        </w:tc>
        <w:tc>
          <w:tcPr>
            <w:tcW w:type="dxa" w:w="182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rPr>
                <w:rStyle w:val="Nessuno"/>
              </w:rPr>
            </w:pPr>
            <w:r>
              <w:rPr>
                <w:rStyle w:val="Nessuno"/>
                <w:rtl w:val="0"/>
                <w:lang w:val="it-IT"/>
              </w:rPr>
              <w:t>Imprese</w:t>
            </w:r>
          </w:p>
          <w:p>
            <w:pPr>
              <w:pStyle w:val="Normal.0"/>
              <w:bidi w:val="0"/>
              <w:spacing w:after="0" w:line="240" w:lineRule="auto"/>
              <w:ind w:left="0" w:right="0" w:firstLine="0"/>
              <w:jc w:val="right"/>
              <w:rPr>
                <w:rStyle w:val="Nessuno"/>
                <w:rtl w:val="0"/>
              </w:rPr>
            </w:pPr>
            <w:r>
              <w:rPr>
                <w:rStyle w:val="Nessuno"/>
                <w:rtl w:val="0"/>
                <w:lang w:val="it-IT"/>
              </w:rPr>
              <w:t>Artigiane</w:t>
            </w:r>
          </w:p>
          <w:p>
            <w:pPr>
              <w:pStyle w:val="Normal.0"/>
              <w:bidi w:val="0"/>
              <w:spacing w:after="0" w:line="240" w:lineRule="auto"/>
              <w:ind w:left="0" w:right="0" w:firstLine="0"/>
              <w:jc w:val="right"/>
              <w:rPr>
                <w:rtl w:val="0"/>
              </w:rPr>
            </w:pPr>
            <w:r>
              <w:rPr>
                <w:rStyle w:val="Nessuno"/>
                <w:rtl w:val="0"/>
                <w:lang w:val="it-IT"/>
              </w:rPr>
              <w:t>attive</w:t>
            </w:r>
          </w:p>
        </w:tc>
        <w:tc>
          <w:tcPr>
            <w:tcW w:type="dxa" w:w="17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Lavoratori indipendenti</w:t>
            </w:r>
          </w:p>
        </w:tc>
        <w:tc>
          <w:tcPr>
            <w:tcW w:type="dxa" w:w="14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Lavoratori dipendenti</w:t>
            </w:r>
          </w:p>
        </w:tc>
        <w:tc>
          <w:tcPr>
            <w:tcW w:type="dxa" w:w="114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rPr>
                <w:rStyle w:val="Nessuno"/>
              </w:rPr>
            </w:pPr>
            <w:r>
              <w:rPr>
                <w:rStyle w:val="Nessuno"/>
                <w:rtl w:val="0"/>
                <w:lang w:val="it-IT"/>
              </w:rPr>
              <w:t>Totale</w:t>
            </w:r>
          </w:p>
          <w:p>
            <w:pPr>
              <w:pStyle w:val="Normal.0"/>
              <w:bidi w:val="0"/>
              <w:spacing w:after="0" w:line="240" w:lineRule="auto"/>
              <w:ind w:left="0" w:right="0" w:firstLine="0"/>
              <w:jc w:val="right"/>
              <w:rPr>
                <w:rtl w:val="0"/>
              </w:rPr>
            </w:pPr>
            <w:r>
              <w:rPr>
                <w:rStyle w:val="Nessuno"/>
                <w:rtl w:val="0"/>
                <w:lang w:val="it-IT"/>
              </w:rPr>
              <w:t>addetti</w:t>
            </w:r>
          </w:p>
        </w:tc>
      </w:tr>
      <w:tr>
        <w:tblPrEx>
          <w:shd w:val="clear" w:color="auto" w:fill="ced7e7"/>
        </w:tblPrEx>
        <w:trPr>
          <w:trHeight w:val="270" w:hRule="atLeast"/>
        </w:trPr>
        <w:tc>
          <w:tcPr>
            <w:tcW w:type="dxa" w:w="2006"/>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rStyle w:val="Nessuno"/>
                <w:rtl w:val="0"/>
                <w:lang w:val="it-IT"/>
              </w:rPr>
              <w:t>GORIZIA</w:t>
            </w:r>
          </w:p>
        </w:tc>
        <w:tc>
          <w:tcPr>
            <w:tcW w:type="dxa" w:w="1822"/>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127</w:t>
            </w:r>
          </w:p>
        </w:tc>
        <w:tc>
          <w:tcPr>
            <w:tcW w:type="dxa" w:w="170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186</w:t>
            </w:r>
          </w:p>
        </w:tc>
        <w:tc>
          <w:tcPr>
            <w:tcW w:type="dxa" w:w="1417"/>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418</w:t>
            </w:r>
          </w:p>
        </w:tc>
        <w:tc>
          <w:tcPr>
            <w:tcW w:type="dxa" w:w="1146"/>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604</w:t>
            </w:r>
          </w:p>
        </w:tc>
      </w:tr>
      <w:tr>
        <w:tblPrEx>
          <w:shd w:val="clear" w:color="auto" w:fill="ced7e7"/>
        </w:tblPrEx>
        <w:trPr>
          <w:trHeight w:val="260" w:hRule="atLeast"/>
        </w:trPr>
        <w:tc>
          <w:tcPr>
            <w:tcW w:type="dxa" w:w="2006"/>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rStyle w:val="Nessuno"/>
                <w:rtl w:val="0"/>
                <w:lang w:val="it-IT"/>
              </w:rPr>
              <w:t>PORDENONE</w:t>
            </w:r>
          </w:p>
        </w:tc>
        <w:tc>
          <w:tcPr>
            <w:tcW w:type="dxa" w:w="1822"/>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395</w:t>
            </w:r>
          </w:p>
        </w:tc>
        <w:tc>
          <w:tcPr>
            <w:tcW w:type="dxa" w:w="1702"/>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592</w:t>
            </w:r>
          </w:p>
        </w:tc>
        <w:tc>
          <w:tcPr>
            <w:tcW w:type="dxa" w:w="1417"/>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972</w:t>
            </w:r>
          </w:p>
        </w:tc>
        <w:tc>
          <w:tcPr>
            <w:tcW w:type="dxa" w:w="1146"/>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1.564</w:t>
            </w:r>
          </w:p>
        </w:tc>
      </w:tr>
      <w:tr>
        <w:tblPrEx>
          <w:shd w:val="clear" w:color="auto" w:fill="ced7e7"/>
        </w:tblPrEx>
        <w:trPr>
          <w:trHeight w:val="260" w:hRule="atLeast"/>
        </w:trPr>
        <w:tc>
          <w:tcPr>
            <w:tcW w:type="dxa" w:w="2006"/>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pPr>
            <w:r>
              <w:rPr>
                <w:rStyle w:val="Nessuno"/>
                <w:rtl w:val="0"/>
                <w:lang w:val="it-IT"/>
              </w:rPr>
              <w:t>TRIESTE</w:t>
            </w:r>
          </w:p>
        </w:tc>
        <w:tc>
          <w:tcPr>
            <w:tcW w:type="dxa" w:w="1822"/>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196</w:t>
            </w:r>
          </w:p>
        </w:tc>
        <w:tc>
          <w:tcPr>
            <w:tcW w:type="dxa" w:w="1702"/>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296</w:t>
            </w:r>
          </w:p>
        </w:tc>
        <w:tc>
          <w:tcPr>
            <w:tcW w:type="dxa" w:w="1417"/>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800</w:t>
            </w:r>
          </w:p>
        </w:tc>
        <w:tc>
          <w:tcPr>
            <w:tcW w:type="dxa" w:w="1146"/>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1.096</w:t>
            </w:r>
          </w:p>
        </w:tc>
      </w:tr>
      <w:tr>
        <w:tblPrEx>
          <w:shd w:val="clear" w:color="auto" w:fill="ced7e7"/>
        </w:tblPrEx>
        <w:trPr>
          <w:trHeight w:val="255" w:hRule="atLeast"/>
        </w:trPr>
        <w:tc>
          <w:tcPr>
            <w:tcW w:type="dxa" w:w="200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pPr>
            <w:r>
              <w:rPr>
                <w:rStyle w:val="Nessuno"/>
                <w:rtl w:val="0"/>
                <w:lang w:val="it-IT"/>
              </w:rPr>
              <w:t>UDINE</w:t>
            </w:r>
          </w:p>
        </w:tc>
        <w:tc>
          <w:tcPr>
            <w:tcW w:type="dxa" w:w="182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660</w:t>
            </w:r>
          </w:p>
        </w:tc>
        <w:tc>
          <w:tcPr>
            <w:tcW w:type="dxa" w:w="170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946</w:t>
            </w:r>
          </w:p>
        </w:tc>
        <w:tc>
          <w:tcPr>
            <w:tcW w:type="dxa" w:w="141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1.636</w:t>
            </w:r>
          </w:p>
        </w:tc>
        <w:tc>
          <w:tcPr>
            <w:tcW w:type="dxa" w:w="114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tl w:val="0"/>
                <w:lang w:val="it-IT"/>
              </w:rPr>
              <w:t>2.582</w:t>
            </w:r>
          </w:p>
        </w:tc>
      </w:tr>
      <w:tr>
        <w:tblPrEx>
          <w:shd w:val="clear" w:color="auto" w:fill="ced7e7"/>
        </w:tblPrEx>
        <w:trPr>
          <w:trHeight w:val="260" w:hRule="atLeast"/>
        </w:trPr>
        <w:tc>
          <w:tcPr>
            <w:tcW w:type="dxa" w:w="200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pPr>
            <w:r>
              <w:rPr>
                <w:rStyle w:val="Nessuno"/>
                <w:rFonts w:ascii="Calibri" w:cs="Calibri" w:hAnsi="Calibri" w:eastAsia="Calibri"/>
                <w:b w:val="1"/>
                <w:bCs w:val="1"/>
                <w:rtl w:val="0"/>
                <w:lang w:val="it-IT"/>
              </w:rPr>
              <w:t>FVG</w:t>
            </w:r>
          </w:p>
        </w:tc>
        <w:tc>
          <w:tcPr>
            <w:tcW w:type="dxa" w:w="182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Fonts w:ascii="Calibri" w:cs="Calibri" w:hAnsi="Calibri" w:eastAsia="Calibri"/>
                <w:b w:val="1"/>
                <w:bCs w:val="1"/>
                <w:rtl w:val="0"/>
                <w:lang w:val="it-IT"/>
              </w:rPr>
              <w:t>1.378</w:t>
            </w:r>
          </w:p>
        </w:tc>
        <w:tc>
          <w:tcPr>
            <w:tcW w:type="dxa" w:w="17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Fonts w:ascii="Calibri" w:cs="Calibri" w:hAnsi="Calibri" w:eastAsia="Calibri"/>
                <w:b w:val="1"/>
                <w:bCs w:val="1"/>
                <w:rtl w:val="0"/>
                <w:lang w:val="it-IT"/>
              </w:rPr>
              <w:t>2.020</w:t>
            </w:r>
          </w:p>
        </w:tc>
        <w:tc>
          <w:tcPr>
            <w:tcW w:type="dxa" w:w="14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Fonts w:ascii="Calibri" w:cs="Calibri" w:hAnsi="Calibri" w:eastAsia="Calibri"/>
                <w:b w:val="1"/>
                <w:bCs w:val="1"/>
                <w:rtl w:val="0"/>
                <w:lang w:val="it-IT"/>
              </w:rPr>
              <w:t>3.826</w:t>
            </w:r>
          </w:p>
        </w:tc>
        <w:tc>
          <w:tcPr>
            <w:tcW w:type="dxa" w:w="114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right"/>
            </w:pPr>
            <w:r>
              <w:rPr>
                <w:rStyle w:val="Nessuno"/>
                <w:rFonts w:ascii="Calibri" w:cs="Calibri" w:hAnsi="Calibri" w:eastAsia="Calibri"/>
                <w:b w:val="1"/>
                <w:bCs w:val="1"/>
                <w:rtl w:val="0"/>
                <w:lang w:val="it-IT"/>
              </w:rPr>
              <w:t>5.846</w:t>
            </w:r>
          </w:p>
        </w:tc>
      </w:tr>
    </w:tbl>
    <w:p>
      <w:pPr>
        <w:pStyle w:val="Normal.0"/>
        <w:widowControl w:val="0"/>
        <w:spacing w:line="240" w:lineRule="auto"/>
        <w:ind w:left="108" w:hanging="108"/>
        <w:jc w:val="center"/>
        <w:rPr>
          <w:sz w:val="28"/>
          <w:szCs w:val="28"/>
        </w:rPr>
      </w:pPr>
    </w:p>
    <w:p>
      <w:pPr>
        <w:pStyle w:val="Normal.0"/>
        <w:widowControl w:val="0"/>
        <w:spacing w:line="240" w:lineRule="auto"/>
        <w:jc w:val="center"/>
        <w:rPr>
          <w:sz w:val="28"/>
          <w:szCs w:val="28"/>
        </w:rPr>
      </w:pPr>
    </w:p>
    <w:p>
      <w:pPr>
        <w:pStyle w:val="Normal.0"/>
        <w:spacing w:before="120" w:after="0"/>
        <w:jc w:val="center"/>
      </w:pPr>
      <w:r>
        <w:rPr>
          <w:rtl w:val="0"/>
          <w:lang w:val="it-IT"/>
        </w:rPr>
        <w:t>Fonte: Ufficio Studi Confartigianato-Imprese Udine su dati Unioncamere-Infocamere-Stockview</w:t>
      </w:r>
    </w:p>
    <w:p>
      <w:pPr>
        <w:pStyle w:val="Normal.0"/>
        <w:spacing w:before="120" w:after="0"/>
        <w:jc w:val="center"/>
      </w:pPr>
    </w:p>
    <w:p>
      <w:pPr>
        <w:pStyle w:val="Normal.0"/>
        <w:spacing w:before="120" w:after="0"/>
        <w:jc w:val="center"/>
        <w:rPr>
          <w:rStyle w:val="Nessuno"/>
          <w:rFonts w:ascii="Avenir Book" w:cs="Avenir Book" w:hAnsi="Avenir Book" w:eastAsia="Avenir Book"/>
          <w:sz w:val="20"/>
          <w:szCs w:val="20"/>
        </w:rPr>
      </w:pPr>
    </w:p>
    <w:p>
      <w:pPr>
        <w:pStyle w:val="Normal.0"/>
        <w:jc w:val="both"/>
        <w:rPr>
          <w:rStyle w:val="Nessuno"/>
          <w:rFonts w:ascii="Avenir Book" w:cs="Avenir Book" w:hAnsi="Avenir Book" w:eastAsia="Avenir Book"/>
          <w:sz w:val="20"/>
          <w:szCs w:val="20"/>
        </w:rPr>
      </w:pPr>
      <w:r>
        <w:rPr>
          <w:rStyle w:val="Nessuno"/>
          <w:rFonts w:ascii="Avenir Book" w:hAnsi="Avenir Book"/>
          <w:sz w:val="20"/>
          <w:szCs w:val="20"/>
          <w:rtl w:val="0"/>
          <w:lang w:val="it-IT"/>
        </w:rPr>
        <w:t xml:space="preserve">A livello nazionale, nei primi 9 mesi del 2018 il volume delle vendite al dettaglio di prodotti alimentari e bevande </w:t>
      </w:r>
      <w:r>
        <w:rPr>
          <w:rStyle w:val="Nessuno"/>
          <w:rFonts w:ascii="Avenir Book" w:hAnsi="Avenir Book" w:hint="default"/>
          <w:sz w:val="20"/>
          <w:szCs w:val="20"/>
          <w:rtl w:val="0"/>
          <w:lang w:val="it-IT"/>
        </w:rPr>
        <w:t xml:space="preserve">è </w:t>
      </w:r>
      <w:r>
        <w:rPr>
          <w:rStyle w:val="Nessuno"/>
          <w:rFonts w:ascii="Avenir Book" w:hAnsi="Avenir Book"/>
          <w:sz w:val="20"/>
          <w:szCs w:val="20"/>
          <w:rtl w:val="0"/>
          <w:lang w:val="it-IT"/>
        </w:rPr>
        <w:t>diminuito del -0,7% (era -0,5% nei primi 9 mesi del 2017). Per le festivit</w:t>
      </w:r>
      <w:r>
        <w:rPr>
          <w:rStyle w:val="Nessuno"/>
          <w:rFonts w:ascii="Avenir Book" w:hAnsi="Avenir Book" w:hint="default"/>
          <w:sz w:val="20"/>
          <w:szCs w:val="20"/>
          <w:rtl w:val="0"/>
          <w:lang w:val="it-IT"/>
        </w:rPr>
        <w:t xml:space="preserve">à </w:t>
      </w:r>
      <w:r>
        <w:rPr>
          <w:rStyle w:val="Nessuno"/>
          <w:rFonts w:ascii="Avenir Book" w:hAnsi="Avenir Book"/>
          <w:sz w:val="20"/>
          <w:szCs w:val="20"/>
          <w:rtl w:val="0"/>
          <w:lang w:val="it-IT"/>
        </w:rPr>
        <w:t>natalizie, a meno non si verifichi un insperato exploit, in regione si attende una sostanziale stabilit</w:t>
      </w:r>
      <w:r>
        <w:rPr>
          <w:rStyle w:val="Nessuno"/>
          <w:rFonts w:ascii="Avenir Book" w:hAnsi="Avenir Book" w:hint="default"/>
          <w:sz w:val="20"/>
          <w:szCs w:val="20"/>
          <w:rtl w:val="0"/>
          <w:lang w:val="it-IT"/>
        </w:rPr>
        <w:t>à</w:t>
      </w:r>
      <w:r>
        <w:rPr>
          <w:rStyle w:val="Nessuno"/>
          <w:rFonts w:ascii="Avenir Book" w:hAnsi="Avenir Book"/>
          <w:sz w:val="20"/>
          <w:szCs w:val="20"/>
          <w:rtl w:val="0"/>
          <w:lang w:val="it-IT"/>
        </w:rPr>
        <w:t>, se non una variazione leggermente negativa, dei consumi alimentari rispetto allo stesso periodo dello scorso anno.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4"/>
        </w:tabs>
        <w:rPr>
          <w:rStyle w:val="Nessuno"/>
          <w:rFonts w:ascii="Avenir Book" w:cs="Avenir Book" w:hAnsi="Avenir Book" w:eastAsia="Avenir Book"/>
          <w:sz w:val="20"/>
          <w:szCs w:val="2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4"/>
        </w:tabs>
        <w:rPr>
          <w:rStyle w:val="Nessuno"/>
          <w:rFonts w:ascii="Avenir Book" w:cs="Avenir Book" w:hAnsi="Avenir Book" w:eastAsia="Avenir Book"/>
          <w:sz w:val="20"/>
          <w:szCs w:val="20"/>
        </w:rPr>
      </w:pPr>
      <w:r>
        <w:rPr>
          <w:rStyle w:val="Nessuno"/>
          <w:rFonts w:ascii="Avenir Book" w:hAnsi="Avenir Book"/>
          <w:sz w:val="20"/>
          <w:szCs w:val="20"/>
          <w:rtl w:val="0"/>
          <w:lang w:val="it-IT"/>
        </w:rPr>
        <w:t>Addetto stampa Confartigianato-Imprese Udine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4"/>
        </w:tabs>
        <w:rPr>
          <w:rStyle w:val="Nessuno"/>
          <w:rFonts w:ascii="Avenir Book" w:cs="Avenir Book" w:hAnsi="Avenir Book" w:eastAsia="Avenir Book"/>
          <w:sz w:val="20"/>
          <w:szCs w:val="20"/>
        </w:rPr>
      </w:pPr>
      <w:r>
        <w:rPr>
          <w:rStyle w:val="Nessuno"/>
          <w:rFonts w:ascii="Avenir Book" w:hAnsi="Avenir Book"/>
          <w:sz w:val="20"/>
          <w:szCs w:val="20"/>
          <w:rtl w:val="0"/>
          <w:lang w:val="it-IT"/>
        </w:rPr>
        <w:t xml:space="preserve">Maura Delle Case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4"/>
        </w:tabs>
        <w:rPr>
          <w:rStyle w:val="Nessuno"/>
          <w:rFonts w:ascii="Avenir Book" w:cs="Avenir Book" w:hAnsi="Avenir Book" w:eastAsia="Avenir Book"/>
          <w:sz w:val="20"/>
          <w:szCs w:val="20"/>
        </w:rPr>
      </w:pPr>
      <w:r>
        <w:rPr>
          <w:rStyle w:val="Nessuno"/>
          <w:rFonts w:ascii="Avenir Book" w:hAnsi="Avenir Book"/>
          <w:sz w:val="20"/>
          <w:szCs w:val="20"/>
          <w:rtl w:val="0"/>
          <w:lang w:val="it-IT"/>
        </w:rPr>
        <w:t>3478794338</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4"/>
        </w:tabs>
      </w:pPr>
      <w:r>
        <w:rPr>
          <w:rStyle w:val="Nessuno"/>
          <w:rFonts w:ascii="Avenir Book" w:hAnsi="Avenir Book"/>
          <w:sz w:val="20"/>
          <w:szCs w:val="20"/>
          <w:rtl w:val="0"/>
          <w:lang w:val="it-IT"/>
        </w:rPr>
        <w:t>mauradellecase@gmail.com</w:t>
      </w:r>
    </w:p>
    <w:sectPr>
      <w:headerReference w:type="default" r:id="rId5"/>
      <w:headerReference w:type="first" r:id="rId6"/>
      <w:footerReference w:type="default" r:id="rId7"/>
      <w:footerReference w:type="first" r:id="rId8"/>
      <w:pgSz w:w="11900" w:h="16840" w:orient="portrait"/>
      <w:pgMar w:top="1588" w:right="1588" w:bottom="1588" w:left="1588"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704"/>
        <w:tab w:val="clear" w:pos="9638"/>
      </w:tabs>
      <w:jc w:val="center"/>
    </w:pPr>
    <w:r>
      <w:rPr>
        <w:rStyle w:val="Nessuno"/>
        <w:rFonts w:ascii="Calibri" w:cs="Calibri" w:hAnsi="Calibri" w:eastAsia="Calibri"/>
        <w:b w:val="1"/>
        <w:bCs w:val="1"/>
        <w:color w:val="023b80"/>
        <w:sz w:val="28"/>
        <w:szCs w:val="28"/>
        <w:u w:color="023b80"/>
        <w:rtl w:val="0"/>
        <w:lang w:val="it-IT"/>
      </w:rPr>
      <w:t>UFFICIO STUDI</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704"/>
        <w:tab w:val="clear" w:pos="9638"/>
      </w:tabs>
      <w:jc w:val="center"/>
    </w:pPr>
    <w:r>
      <w:drawing>
        <wp:inline distT="0" distB="0" distL="0" distR="0">
          <wp:extent cx="2438400" cy="1220061"/>
          <wp:effectExtent l="0" t="0" r="0" b="0"/>
          <wp:docPr id="1073741825" name="officeArt object" descr="Nuovo Logo Confartigianato-Imprese Udine.jpg"/>
          <wp:cNvGraphicFramePr/>
          <a:graphic xmlns:a="http://schemas.openxmlformats.org/drawingml/2006/main">
            <a:graphicData uri="http://schemas.openxmlformats.org/drawingml/2006/picture">
              <pic:pic xmlns:pic="http://schemas.openxmlformats.org/drawingml/2006/picture">
                <pic:nvPicPr>
                  <pic:cNvPr id="1073741825" name="Nuovo Logo Confartigianato-Imprese Udine.jpg" descr="Nuovo Logo Confartigianato-Imprese Udine.jpg"/>
                  <pic:cNvPicPr>
                    <a:picLocks noChangeAspect="1"/>
                  </pic:cNvPicPr>
                </pic:nvPicPr>
                <pic:blipFill>
                  <a:blip r:embed="rId1">
                    <a:extLst/>
                  </a:blip>
                  <a:stretch>
                    <a:fillRect/>
                  </a:stretch>
                </pic:blipFill>
                <pic:spPr>
                  <a:xfrm>
                    <a:off x="0" y="0"/>
                    <a:ext cx="2438400" cy="122006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rPr>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1" i="0" strike="noStrike" sz="1200" u="none">
                <a:solidFill>
                  <a:srgbClr val="000000"/>
                </a:solidFill>
                <a:latin typeface="Calibri"/>
              </a:defRPr>
            </a:pPr>
            <a:r>
              <a:rPr b="1" i="0" strike="noStrike" sz="1200" u="none">
                <a:solidFill>
                  <a:srgbClr val="000000"/>
                </a:solidFill>
                <a:latin typeface="Calibri"/>
              </a:rPr>
              <a:t>Stima spesa per alimentari e bevande, famiglie del FVG, dicembre 2018 (milioni Euro)</a:t>
            </a:r>
          </a:p>
        </c:rich>
      </c:tx>
      <c:layout>
        <c:manualLayout>
          <c:xMode val="edge"/>
          <c:yMode val="edge"/>
          <c:x val="0"/>
          <c:y val="0"/>
          <c:w val="1"/>
          <c:h val="0.254228"/>
        </c:manualLayout>
      </c:layout>
      <c:overlay val="1"/>
      <c:spPr>
        <a:noFill/>
        <a:effectLst/>
      </c:spPr>
    </c:title>
    <c:autoTitleDeleted val="1"/>
    <c:plotArea>
      <c:layout>
        <c:manualLayout>
          <c:layoutTarget val="inner"/>
          <c:xMode val="edge"/>
          <c:yMode val="edge"/>
          <c:x val="0.0470543"/>
          <c:y val="0.254228"/>
          <c:w val="0.905891"/>
          <c:h val="0.696447"/>
        </c:manualLayout>
      </c:layout>
      <c:doughnutChart>
        <c:varyColors val="0"/>
        <c:ser>
          <c:idx val="0"/>
          <c:order val="0"/>
          <c:tx>
            <c:strRef>
              <c:f>Sheet1!$A$2</c:f>
              <c:strCache>
                <c:ptCount val="1"/>
                <c:pt idx="0">
                  <c:v>Stima spesa famiglie FVG dicembre 2018 (MILIONI EURO)</c:v>
                </c:pt>
              </c:strCache>
            </c:strRef>
          </c:tx>
          <c:spPr>
            <a:solidFill>
              <a:srgbClr val="009999"/>
            </a:solidFill>
            <a:ln w="19050" cap="flat">
              <a:solidFill>
                <a:srgbClr val="FFFFFF"/>
              </a:solidFill>
              <a:prstDash val="solid"/>
              <a:round/>
            </a:ln>
            <a:effectLst/>
          </c:spPr>
          <c:explosion val="0"/>
          <c:dPt>
            <c:idx val="0"/>
            <c:explosion val="0"/>
            <c:spPr>
              <a:solidFill>
                <a:srgbClr val="009999"/>
              </a:solidFill>
              <a:ln w="19050" cap="flat">
                <a:solidFill>
                  <a:srgbClr val="FFFFFF"/>
                </a:solidFill>
                <a:prstDash val="solid"/>
                <a:round/>
              </a:ln>
              <a:effectLst/>
            </c:spPr>
          </c:dPt>
          <c:dPt>
            <c:idx val="1"/>
            <c:explosion val="0"/>
            <c:spPr>
              <a:solidFill>
                <a:srgbClr val="FF6600"/>
              </a:solidFill>
              <a:ln w="19050" cap="flat">
                <a:solidFill>
                  <a:srgbClr val="FFFFFF"/>
                </a:solidFill>
                <a:prstDash val="solid"/>
                <a:round/>
              </a:ln>
              <a:effectLst/>
            </c:spPr>
          </c:dPt>
          <c:dPt>
            <c:idx val="2"/>
            <c:explosion val="0"/>
            <c:spPr>
              <a:solidFill>
                <a:srgbClr val="A6A6A6"/>
              </a:solidFill>
              <a:ln w="19050" cap="flat">
                <a:solidFill>
                  <a:srgbClr val="FFFFFF"/>
                </a:solidFill>
                <a:prstDash val="solid"/>
                <a:round/>
              </a:ln>
              <a:effectLst/>
            </c:spPr>
          </c:dPt>
          <c:dPt>
            <c:idx val="3"/>
            <c:explosion val="0"/>
            <c:spPr>
              <a:solidFill>
                <a:srgbClr val="FFC000"/>
              </a:solidFill>
              <a:ln w="19050" cap="flat">
                <a:solidFill>
                  <a:srgbClr val="FFFFFF"/>
                </a:solidFill>
                <a:prstDash val="solid"/>
                <a:round/>
              </a:ln>
              <a:effectLst/>
            </c:spPr>
          </c:dPt>
          <c:dPt>
            <c:idx val="4"/>
            <c:explosion val="0"/>
            <c:spPr>
              <a:solidFill>
                <a:schemeClr val="accent5"/>
              </a:solidFill>
              <a:ln w="19050" cap="flat">
                <a:solidFill>
                  <a:srgbClr val="FFFFFF"/>
                </a:solidFill>
                <a:prstDash val="solid"/>
                <a:round/>
              </a:ln>
              <a:effectLst/>
            </c:spPr>
          </c:dPt>
          <c:dLbls>
            <c:dLbl>
              <c:idx val="0"/>
              <c:numFmt formatCode="0" sourceLinked="0"/>
              <c:txPr>
                <a:bodyPr/>
                <a:lstStyle/>
                <a:p>
                  <a:pPr>
                    <a:defRPr b="1" i="0" strike="noStrike" sz="1100" u="none">
                      <a:solidFill>
                        <a:srgbClr val="000000"/>
                      </a:solidFill>
                      <a:latin typeface="Calibri"/>
                    </a:defRPr>
                  </a:pPr>
                </a:p>
              </c:txPr>
              <c:showLegendKey val="0"/>
              <c:showVal val="1"/>
              <c:showCatName val="1"/>
              <c:showSerName val="0"/>
              <c:showPercent val="0"/>
              <c:showBubbleSize val="0"/>
            </c:dLbl>
            <c:dLbl>
              <c:idx val="1"/>
              <c:numFmt formatCode="0" sourceLinked="0"/>
              <c:txPr>
                <a:bodyPr/>
                <a:lstStyle/>
                <a:p>
                  <a:pPr>
                    <a:defRPr b="1" i="0" strike="noStrike" sz="1100" u="none">
                      <a:solidFill>
                        <a:srgbClr val="000000"/>
                      </a:solidFill>
                      <a:latin typeface="Calibri"/>
                    </a:defRPr>
                  </a:pPr>
                </a:p>
              </c:txPr>
              <c:showLegendKey val="0"/>
              <c:showVal val="1"/>
              <c:showCatName val="1"/>
              <c:showSerName val="0"/>
              <c:showPercent val="0"/>
              <c:showBubbleSize val="0"/>
            </c:dLbl>
            <c:dLbl>
              <c:idx val="2"/>
              <c:numFmt formatCode="0" sourceLinked="0"/>
              <c:txPr>
                <a:bodyPr/>
                <a:lstStyle/>
                <a:p>
                  <a:pPr>
                    <a:defRPr b="1" i="0" strike="noStrike" sz="1100" u="none">
                      <a:solidFill>
                        <a:srgbClr val="000000"/>
                      </a:solidFill>
                      <a:latin typeface="Calibri"/>
                    </a:defRPr>
                  </a:pPr>
                </a:p>
              </c:txPr>
              <c:showLegendKey val="0"/>
              <c:showVal val="1"/>
              <c:showCatName val="1"/>
              <c:showSerName val="0"/>
              <c:showPercent val="0"/>
              <c:showBubbleSize val="0"/>
            </c:dLbl>
            <c:dLbl>
              <c:idx val="3"/>
              <c:numFmt formatCode="0" sourceLinked="0"/>
              <c:txPr>
                <a:bodyPr/>
                <a:lstStyle/>
                <a:p>
                  <a:pPr>
                    <a:defRPr b="1" i="0" strike="noStrike" sz="1100" u="none">
                      <a:solidFill>
                        <a:srgbClr val="000000"/>
                      </a:solidFill>
                      <a:latin typeface="Calibri"/>
                    </a:defRPr>
                  </a:pPr>
                </a:p>
              </c:txPr>
              <c:showLegendKey val="0"/>
              <c:showVal val="1"/>
              <c:showCatName val="1"/>
              <c:showSerName val="0"/>
              <c:showPercent val="0"/>
              <c:showBubbleSize val="0"/>
            </c:dLbl>
            <c:dLbl>
              <c:idx val="4"/>
              <c:numFmt formatCode="0" sourceLinked="0"/>
              <c:txPr>
                <a:bodyPr/>
                <a:lstStyle/>
                <a:p>
                  <a:pPr>
                    <a:defRPr b="1" i="0" strike="noStrike" sz="1100" u="none">
                      <a:solidFill>
                        <a:srgbClr val="000000"/>
                      </a:solidFill>
                      <a:latin typeface="Calibri"/>
                    </a:defRPr>
                  </a:pPr>
                </a:p>
              </c:txPr>
              <c:showLegendKey val="0"/>
              <c:showVal val="1"/>
              <c:showCatName val="1"/>
              <c:showSerName val="0"/>
              <c:showPercent val="0"/>
              <c:showBubbleSize val="0"/>
            </c:dLbl>
            <c:numFmt formatCode="0" sourceLinked="0"/>
            <c:txPr>
              <a:bodyPr/>
              <a:lstStyle/>
              <a:p>
                <a:pPr>
                  <a:defRPr b="1" i="0" strike="noStrike" sz="1100" u="none">
                    <a:solidFill>
                      <a:srgbClr val="000000"/>
                    </a:solidFill>
                    <a:latin typeface="Calibri"/>
                  </a:defRPr>
                </a:pPr>
              </a:p>
            </c:txPr>
            <c:showLegendKey val="0"/>
            <c:showVal val="1"/>
            <c:showCatName val="1"/>
            <c:showSerName val="0"/>
            <c:showPercent val="0"/>
            <c:showBubbleSize val="0"/>
            <c:showLeaderLines val="0"/>
            <c:leaderLines>
              <c:spPr>
                <a:noFill/>
                <a:ln w="6350" cap="flat">
                  <a:solidFill>
                    <a:srgbClr val="000000"/>
                  </a:solidFill>
                  <a:prstDash val="solid"/>
                  <a:miter lim="400000"/>
                </a:ln>
                <a:effectLst/>
              </c:spPr>
            </c:leaderLines>
          </c:dLbls>
          <c:cat>
            <c:strRef>
              <c:f>Sheet1!$B$1:$F$1</c:f>
              <c:strCache>
                <c:ptCount val="5"/>
                <c:pt idx="0">
                  <c:v>Gorizia</c:v>
                </c:pt>
                <c:pt idx="1">
                  <c:v>Pordenone</c:v>
                </c:pt>
                <c:pt idx="2">
                  <c:v>Trieste</c:v>
                </c:pt>
                <c:pt idx="3">
                  <c:v>Udine</c:v>
                </c:pt>
                <c:pt idx="4">
                  <c:v>fvg</c:v>
                </c:pt>
              </c:strCache>
            </c:strRef>
          </c:cat>
          <c:val>
            <c:numRef>
              <c:f>Sheet1!$B$2:$F$2</c:f>
              <c:numCache>
                <c:ptCount val="5"/>
                <c:pt idx="0">
                  <c:v>36.000000</c:v>
                </c:pt>
                <c:pt idx="1">
                  <c:v>73.000000</c:v>
                </c:pt>
                <c:pt idx="2">
                  <c:v>66.000000</c:v>
                </c:pt>
                <c:pt idx="3">
                  <c:v>132.000000</c:v>
                </c:pt>
                <c:pt idx="4">
                  <c:v>0.000000</c:v>
                </c:pt>
              </c:numCache>
            </c:numRef>
          </c:val>
        </c:ser>
        <c:firstSliceAng val="0"/>
        <c:holeSize val="37"/>
      </c:doughnutChart>
      <c:spPr>
        <a:noFill/>
        <a:ln w="12700" cap="flat">
          <a:noFill/>
          <a:miter lim="400000"/>
        </a:ln>
        <a:effectLst/>
      </c:spPr>
    </c:plotArea>
    <c:plotVisOnly val="1"/>
    <c:dispBlanksAs val="gap"/>
  </c:chart>
  <c:spPr>
    <a:solidFill>
      <a:srgbClr val="FFFFFF"/>
    </a:solidFill>
    <a:ln>
      <a:noFill/>
    </a:ln>
    <a:effectLst/>
  </c:spPr>
  <c:externalData r:id="rId1">
    <c:autoUpdate val="0"/>
  </c:externalData>
</c:chartSpace>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