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BB" w:rsidRPr="00365EBB" w:rsidRDefault="00365EBB" w:rsidP="00365EBB">
      <w:pPr>
        <w:spacing w:after="0" w:line="240" w:lineRule="auto"/>
        <w:jc w:val="center"/>
        <w:rPr>
          <w:rFonts w:ascii="Times New Roman" w:eastAsia="Times New Roman" w:hAnsi="Times New Roman" w:cs="Times New Roman"/>
          <w:sz w:val="24"/>
          <w:szCs w:val="24"/>
          <w:lang w:eastAsia="it-IT"/>
        </w:rPr>
      </w:pPr>
      <w:r w:rsidRPr="00365EBB">
        <w:rPr>
          <w:rFonts w:ascii="Times New Roman" w:eastAsia="Times New Roman" w:hAnsi="Times New Roman" w:cs="Times New Roman"/>
          <w:b/>
          <w:sz w:val="32"/>
          <w:szCs w:val="32"/>
          <w:lang w:eastAsia="it-IT"/>
        </w:rPr>
        <w:fldChar w:fldCharType="begin"/>
      </w:r>
      <w:r w:rsidRPr="00365EBB">
        <w:rPr>
          <w:rFonts w:ascii="Times New Roman" w:eastAsia="Times New Roman" w:hAnsi="Times New Roman" w:cs="Times New Roman"/>
          <w:b/>
          <w:sz w:val="32"/>
          <w:szCs w:val="32"/>
          <w:lang w:eastAsia="it-IT"/>
        </w:rPr>
        <w:instrText xml:space="preserve"> HYPERLINK "http://lexview-int.regione.fvg.it/fontinormative/xml/xmlLex.aspx?anno=2005&amp;legge=29&amp;fx=lex&amp;lista=0&amp;lang=ita" \o "Vai al testo completo della legge" </w:instrText>
      </w:r>
      <w:r w:rsidRPr="00365EBB">
        <w:rPr>
          <w:rFonts w:ascii="Times New Roman" w:eastAsia="Times New Roman" w:hAnsi="Times New Roman" w:cs="Times New Roman"/>
          <w:b/>
          <w:sz w:val="32"/>
          <w:szCs w:val="32"/>
          <w:lang w:eastAsia="it-IT"/>
        </w:rPr>
        <w:fldChar w:fldCharType="separate"/>
      </w:r>
      <w:r w:rsidRPr="00365EBB">
        <w:rPr>
          <w:rFonts w:ascii="Times New Roman" w:eastAsia="Times New Roman" w:hAnsi="Times New Roman" w:cs="Times New Roman"/>
          <w:b/>
          <w:color w:val="0000FF"/>
          <w:sz w:val="32"/>
          <w:szCs w:val="32"/>
          <w:u w:val="single"/>
          <w:lang w:eastAsia="it-IT"/>
        </w:rPr>
        <w:t>Legge regionale 5 dicembre 2005, n. 29</w:t>
      </w:r>
      <w:r w:rsidRPr="00365EBB">
        <w:rPr>
          <w:rFonts w:ascii="Times New Roman" w:eastAsia="Times New Roman" w:hAnsi="Times New Roman" w:cs="Times New Roman"/>
          <w:b/>
          <w:sz w:val="32"/>
          <w:szCs w:val="32"/>
          <w:lang w:eastAsia="it-IT"/>
        </w:rPr>
        <w:fldChar w:fldCharType="end"/>
      </w:r>
      <w:r w:rsidRPr="00365EBB">
        <w:rPr>
          <w:rFonts w:ascii="Times New Roman" w:eastAsia="Times New Roman" w:hAnsi="Times New Roman" w:cs="Times New Roman"/>
          <w:b/>
          <w:sz w:val="32"/>
          <w:szCs w:val="32"/>
          <w:lang w:eastAsia="it-IT"/>
        </w:rPr>
        <w:br/>
      </w:r>
      <w:r w:rsidRPr="00365EBB">
        <w:rPr>
          <w:rFonts w:ascii="Times New Roman" w:eastAsia="Times New Roman" w:hAnsi="Times New Roman" w:cs="Times New Roman"/>
          <w:sz w:val="24"/>
          <w:szCs w:val="24"/>
          <w:lang w:eastAsia="it-IT"/>
        </w:rPr>
        <w:t>Normativa organica in materia di attività commerciali e di somministrazione di alimenti e bevande. Modifica alla legge regionale 16 gennaio 2002, n. 2 &lt;&lt;Disciplina organica del turismo&gt;&gt;.</w:t>
      </w:r>
    </w:p>
    <w:p w:rsidR="00365EBB" w:rsidRPr="00365EBB" w:rsidRDefault="00365EBB" w:rsidP="00365EBB">
      <w:pPr>
        <w:spacing w:before="100" w:beforeAutospacing="1" w:after="100" w:afterAutospacing="1" w:line="240" w:lineRule="auto"/>
        <w:rPr>
          <w:rFonts w:ascii="Times New Roman" w:eastAsia="Times New Roman" w:hAnsi="Times New Roman" w:cs="Times New Roman"/>
          <w:sz w:val="24"/>
          <w:szCs w:val="24"/>
          <w:lang w:eastAsia="it-IT"/>
        </w:rPr>
      </w:pPr>
      <w:r w:rsidRPr="00365EBB">
        <w:rPr>
          <w:rFonts w:ascii="Times New Roman" w:eastAsia="Times New Roman" w:hAnsi="Times New Roman" w:cs="Times New Roman"/>
          <w:sz w:val="24"/>
          <w:szCs w:val="24"/>
          <w:lang w:eastAsia="it-IT"/>
        </w:rPr>
        <w:t> </w:t>
      </w:r>
    </w:p>
    <w:p w:rsidR="00365EBB" w:rsidRPr="00365EBB" w:rsidRDefault="00365EBB" w:rsidP="00365EBB">
      <w:pPr>
        <w:spacing w:after="0" w:line="240" w:lineRule="auto"/>
        <w:jc w:val="center"/>
        <w:rPr>
          <w:rFonts w:ascii="Times New Roman" w:eastAsia="Times New Roman" w:hAnsi="Times New Roman" w:cs="Times New Roman"/>
          <w:sz w:val="24"/>
          <w:szCs w:val="24"/>
          <w:lang w:eastAsia="it-IT"/>
        </w:rPr>
      </w:pPr>
      <w:bookmarkStart w:id="0" w:name="LR"/>
      <w:bookmarkStart w:id="1" w:name="art100"/>
      <w:bookmarkEnd w:id="0"/>
      <w:bookmarkEnd w:id="1"/>
      <w:r w:rsidRPr="00365EBB">
        <w:rPr>
          <w:rFonts w:ascii="Times New Roman" w:eastAsia="Times New Roman" w:hAnsi="Times New Roman" w:cs="Times New Roman"/>
          <w:b/>
          <w:bCs/>
          <w:sz w:val="24"/>
          <w:szCs w:val="24"/>
          <w:lang w:eastAsia="it-IT"/>
        </w:rPr>
        <w:t>Art. 100</w:t>
      </w:r>
    </w:p>
    <w:p w:rsidR="00365EBB" w:rsidRPr="00365EBB" w:rsidRDefault="00365EBB" w:rsidP="00365EBB">
      <w:pPr>
        <w:spacing w:after="0" w:line="240" w:lineRule="auto"/>
        <w:jc w:val="center"/>
        <w:rPr>
          <w:rFonts w:ascii="Times New Roman" w:eastAsia="Times New Roman" w:hAnsi="Times New Roman" w:cs="Times New Roman"/>
          <w:sz w:val="24"/>
          <w:szCs w:val="24"/>
          <w:lang w:eastAsia="it-IT"/>
        </w:rPr>
      </w:pPr>
      <w:r w:rsidRPr="00365EBB">
        <w:rPr>
          <w:rFonts w:ascii="Times New Roman" w:eastAsia="Times New Roman" w:hAnsi="Times New Roman" w:cs="Times New Roman"/>
          <w:sz w:val="24"/>
          <w:szCs w:val="24"/>
          <w:lang w:eastAsia="it-IT"/>
        </w:rPr>
        <w:t>(Contributi per lo sviluppo delle micro, piccole e medie imprese commerciali, turistiche e di servizio)</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2" w:name="art100-com1"/>
      <w:bookmarkEnd w:id="2"/>
      <w:r w:rsidRPr="00365EBB">
        <w:rPr>
          <w:rFonts w:ascii="Times New Roman" w:eastAsia="Times New Roman" w:hAnsi="Times New Roman" w:cs="Times New Roman"/>
          <w:b/>
          <w:bCs/>
          <w:sz w:val="24"/>
          <w:szCs w:val="24"/>
          <w:lang w:eastAsia="it-IT"/>
        </w:rPr>
        <w:t xml:space="preserve">1. </w:t>
      </w:r>
      <w:r w:rsidRPr="00365EBB">
        <w:rPr>
          <w:rFonts w:ascii="Times New Roman" w:eastAsia="Times New Roman" w:hAnsi="Times New Roman" w:cs="Times New Roman"/>
          <w:sz w:val="24"/>
          <w:szCs w:val="24"/>
          <w:lang w:eastAsia="it-IT"/>
        </w:rPr>
        <w:t xml:space="preserve">Al fine di </w:t>
      </w:r>
      <w:bookmarkStart w:id="3" w:name="_GoBack"/>
      <w:r w:rsidRPr="00365EBB">
        <w:rPr>
          <w:rFonts w:ascii="Times New Roman" w:eastAsia="Times New Roman" w:hAnsi="Times New Roman" w:cs="Times New Roman"/>
          <w:sz w:val="24"/>
          <w:szCs w:val="24"/>
          <w:lang w:eastAsia="it-IT"/>
        </w:rPr>
        <w:t xml:space="preserve">promuovere e sostenere le micro, piccole e medie imprese commerciali, turistiche e di servizio, anche associate tra loro, i consorzi di imprese, nonché i centri commerciali naturali e di concorrere in particolare alla riqualificazione delle attività del terziario nei centri urbani, l'Amministrazione regionale è autorizzata a concedere incentivi per: </w:t>
      </w:r>
      <w:bookmarkStart w:id="4" w:name="art100-com1-let_a"/>
      <w:bookmarkEnd w:id="4"/>
    </w:p>
    <w:p w:rsidR="00365EBB" w:rsidRPr="00365EBB" w:rsidRDefault="00365EBB" w:rsidP="00365EBB">
      <w:pPr>
        <w:spacing w:after="120" w:line="240" w:lineRule="auto"/>
        <w:rPr>
          <w:rFonts w:ascii="Times New Roman" w:eastAsia="Times New Roman" w:hAnsi="Times New Roman" w:cs="Times New Roman"/>
          <w:sz w:val="24"/>
          <w:szCs w:val="24"/>
          <w:lang w:eastAsia="it-IT"/>
        </w:rPr>
      </w:pPr>
      <w:r w:rsidRPr="00365EBB">
        <w:rPr>
          <w:rFonts w:ascii="Times New Roman" w:eastAsia="Times New Roman" w:hAnsi="Times New Roman" w:cs="Times New Roman"/>
          <w:b/>
          <w:bCs/>
          <w:sz w:val="24"/>
          <w:szCs w:val="24"/>
          <w:lang w:eastAsia="it-IT"/>
        </w:rPr>
        <w:t xml:space="preserve">a) </w:t>
      </w:r>
      <w:r w:rsidRPr="00365EBB">
        <w:rPr>
          <w:rFonts w:ascii="Times New Roman" w:eastAsia="Times New Roman" w:hAnsi="Times New Roman" w:cs="Times New Roman"/>
          <w:sz w:val="24"/>
          <w:szCs w:val="24"/>
          <w:lang w:eastAsia="it-IT"/>
        </w:rPr>
        <w:t>lavori di ammodernamento, ampliamento, ristrutturazione e straordinaria manutenzione nonché acquisto di arredi, attrezzature e strumentazioni nuove, comprese quelle necessarie per i pagamenti tramite moneta elettronica e per il commercio elettronico, e di sistemi di videosorveglianza e sicurezza innovativi, nonché per l'accrescimento dell'efficienza energetica;</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5" w:name="art100-com1-let_b"/>
      <w:bookmarkEnd w:id="5"/>
      <w:r w:rsidRPr="00365EBB">
        <w:rPr>
          <w:rFonts w:ascii="Times New Roman" w:eastAsia="Times New Roman" w:hAnsi="Times New Roman" w:cs="Times New Roman"/>
          <w:b/>
          <w:bCs/>
          <w:sz w:val="24"/>
          <w:szCs w:val="24"/>
          <w:lang w:eastAsia="it-IT"/>
        </w:rPr>
        <w:t xml:space="preserve">b) </w:t>
      </w:r>
      <w:r w:rsidRPr="00365EBB">
        <w:rPr>
          <w:rFonts w:ascii="Times New Roman" w:eastAsia="Times New Roman" w:hAnsi="Times New Roman" w:cs="Times New Roman"/>
          <w:sz w:val="24"/>
          <w:szCs w:val="24"/>
          <w:lang w:eastAsia="it-IT"/>
        </w:rPr>
        <w:t>adeguamento di strutture e impianti alle normative in materia di prevenzione incendi, prevenzione infortuni, igiene e sicurezza sul lavoro, antinquinamento;</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6" w:name="art100-com1-let_c"/>
      <w:bookmarkEnd w:id="6"/>
      <w:r w:rsidRPr="00365EBB">
        <w:rPr>
          <w:rFonts w:ascii="Times New Roman" w:eastAsia="Times New Roman" w:hAnsi="Times New Roman" w:cs="Times New Roman"/>
          <w:b/>
          <w:bCs/>
          <w:sz w:val="24"/>
          <w:szCs w:val="24"/>
          <w:lang w:eastAsia="it-IT"/>
        </w:rPr>
        <w:t xml:space="preserve">c) </w:t>
      </w:r>
      <w:r w:rsidRPr="00365EBB">
        <w:rPr>
          <w:rFonts w:ascii="Times New Roman" w:eastAsia="Times New Roman" w:hAnsi="Times New Roman" w:cs="Times New Roman"/>
          <w:sz w:val="24"/>
          <w:szCs w:val="24"/>
          <w:lang w:eastAsia="it-IT"/>
        </w:rPr>
        <w:t>acquisizione di strumenti, programmi e servizi per la creazione e per la diffusione e la promozione del commercio elettronico;</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7" w:name="art100-com1-let_d"/>
      <w:bookmarkEnd w:id="7"/>
      <w:r w:rsidRPr="00365EBB">
        <w:rPr>
          <w:rFonts w:ascii="Times New Roman" w:eastAsia="Times New Roman" w:hAnsi="Times New Roman" w:cs="Times New Roman"/>
          <w:b/>
          <w:bCs/>
          <w:sz w:val="24"/>
          <w:szCs w:val="24"/>
          <w:lang w:eastAsia="it-IT"/>
        </w:rPr>
        <w:t xml:space="preserve">d) </w:t>
      </w:r>
      <w:r w:rsidRPr="00365EBB">
        <w:rPr>
          <w:rFonts w:ascii="Times New Roman" w:eastAsia="Times New Roman" w:hAnsi="Times New Roman" w:cs="Times New Roman"/>
          <w:sz w:val="24"/>
          <w:szCs w:val="24"/>
          <w:lang w:eastAsia="it-IT"/>
        </w:rPr>
        <w:t>consulenze concernenti l'innovazione, la qualità e le analisi di fattibilità e consulenza economico finanziaria per la realizzazione di nuove iniziative economiche;</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8" w:name="art100-com1-let_e"/>
      <w:bookmarkEnd w:id="8"/>
      <w:r w:rsidRPr="00365EBB">
        <w:rPr>
          <w:rFonts w:ascii="Times New Roman" w:eastAsia="Times New Roman" w:hAnsi="Times New Roman" w:cs="Times New Roman"/>
          <w:b/>
          <w:bCs/>
          <w:sz w:val="24"/>
          <w:szCs w:val="24"/>
          <w:lang w:eastAsia="it-IT"/>
        </w:rPr>
        <w:t xml:space="preserve">e) </w:t>
      </w:r>
      <w:r w:rsidRPr="00365EBB">
        <w:rPr>
          <w:rFonts w:ascii="Times New Roman" w:eastAsia="Times New Roman" w:hAnsi="Times New Roman" w:cs="Times New Roman"/>
          <w:sz w:val="24"/>
          <w:szCs w:val="24"/>
          <w:lang w:eastAsia="it-IT"/>
        </w:rPr>
        <w:t>partecipazione a mostre, fiere, esposizioni e manifestazioni commerciali nazionali ed estere e attività di promozione;</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9" w:name="art100-com1-let_f"/>
      <w:bookmarkEnd w:id="9"/>
      <w:r w:rsidRPr="00365EBB">
        <w:rPr>
          <w:rFonts w:ascii="Times New Roman" w:eastAsia="Times New Roman" w:hAnsi="Times New Roman" w:cs="Times New Roman"/>
          <w:b/>
          <w:bCs/>
          <w:sz w:val="24"/>
          <w:szCs w:val="24"/>
          <w:lang w:eastAsia="it-IT"/>
        </w:rPr>
        <w:t xml:space="preserve">f) </w:t>
      </w:r>
      <w:r w:rsidRPr="00365EBB">
        <w:rPr>
          <w:rFonts w:ascii="Times New Roman" w:eastAsia="Times New Roman" w:hAnsi="Times New Roman" w:cs="Times New Roman"/>
          <w:sz w:val="24"/>
          <w:szCs w:val="24"/>
          <w:lang w:eastAsia="it-IT"/>
        </w:rPr>
        <w:t>investimenti per corsi di formazione, al netto delle eventuali spese di trasferta, del personale destinato alla gestione, manutenzione, controllo dei siti orientati al commercio elettronico;</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10" w:name="art100-com1-let_g"/>
      <w:bookmarkEnd w:id="10"/>
      <w:r w:rsidRPr="00365EBB">
        <w:rPr>
          <w:rFonts w:ascii="Times New Roman" w:eastAsia="Times New Roman" w:hAnsi="Times New Roman" w:cs="Times New Roman"/>
          <w:b/>
          <w:bCs/>
          <w:sz w:val="24"/>
          <w:szCs w:val="24"/>
          <w:lang w:eastAsia="it-IT"/>
        </w:rPr>
        <w:t xml:space="preserve">g) </w:t>
      </w:r>
      <w:r w:rsidRPr="00365EBB">
        <w:rPr>
          <w:rFonts w:ascii="Times New Roman" w:eastAsia="Times New Roman" w:hAnsi="Times New Roman" w:cs="Times New Roman"/>
          <w:sz w:val="24"/>
          <w:szCs w:val="24"/>
          <w:lang w:eastAsia="it-IT"/>
        </w:rPr>
        <w:t>acquisto di automezzi e macchine per la movimentazione delle merci;</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11" w:name="art100-com1-let_h"/>
      <w:bookmarkEnd w:id="11"/>
      <w:r w:rsidRPr="00365EBB">
        <w:rPr>
          <w:rFonts w:ascii="Times New Roman" w:eastAsia="Times New Roman" w:hAnsi="Times New Roman" w:cs="Times New Roman"/>
          <w:b/>
          <w:bCs/>
          <w:sz w:val="24"/>
          <w:szCs w:val="24"/>
          <w:lang w:eastAsia="it-IT"/>
        </w:rPr>
        <w:t xml:space="preserve">h) </w:t>
      </w:r>
      <w:r w:rsidRPr="00365EBB">
        <w:rPr>
          <w:rFonts w:ascii="Times New Roman" w:eastAsia="Times New Roman" w:hAnsi="Times New Roman" w:cs="Times New Roman"/>
          <w:sz w:val="24"/>
          <w:szCs w:val="24"/>
          <w:lang w:eastAsia="it-IT"/>
        </w:rPr>
        <w:t>contributi integrativi per il pagamento dei canoni di locazione dovuti ai proprietari degli immobili, di proprietà sia pubblica sia privata;</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12" w:name="art100-com1-let_i"/>
      <w:bookmarkEnd w:id="12"/>
      <w:r w:rsidRPr="00365EBB">
        <w:rPr>
          <w:rFonts w:ascii="Times New Roman" w:eastAsia="Times New Roman" w:hAnsi="Times New Roman" w:cs="Times New Roman"/>
          <w:b/>
          <w:bCs/>
          <w:sz w:val="24"/>
          <w:szCs w:val="24"/>
          <w:lang w:eastAsia="it-IT"/>
        </w:rPr>
        <w:t xml:space="preserve">i) </w:t>
      </w:r>
      <w:r w:rsidRPr="00365EBB">
        <w:rPr>
          <w:rFonts w:ascii="Times New Roman" w:eastAsia="Times New Roman" w:hAnsi="Times New Roman" w:cs="Times New Roman"/>
          <w:sz w:val="24"/>
          <w:szCs w:val="24"/>
          <w:lang w:eastAsia="it-IT"/>
        </w:rPr>
        <w:t>oneri relativi alla pianificazione finanziaria aziendale e accesso ai finanziamenti delle microimprese;</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13" w:name="art100-com1-let_j"/>
      <w:bookmarkEnd w:id="13"/>
      <w:r w:rsidRPr="00365EBB">
        <w:rPr>
          <w:rFonts w:ascii="Times New Roman" w:eastAsia="Times New Roman" w:hAnsi="Times New Roman" w:cs="Times New Roman"/>
          <w:b/>
          <w:bCs/>
          <w:sz w:val="24"/>
          <w:szCs w:val="24"/>
          <w:lang w:eastAsia="it-IT"/>
        </w:rPr>
        <w:t xml:space="preserve">j) </w:t>
      </w:r>
      <w:r w:rsidRPr="00365EBB">
        <w:rPr>
          <w:rFonts w:ascii="Times New Roman" w:eastAsia="Times New Roman" w:hAnsi="Times New Roman" w:cs="Times New Roman"/>
          <w:sz w:val="24"/>
          <w:szCs w:val="24"/>
          <w:lang w:eastAsia="it-IT"/>
        </w:rPr>
        <w:t xml:space="preserve">successione d'impresa tra l'imprenditore della </w:t>
      </w:r>
      <w:proofErr w:type="spellStart"/>
      <w:r w:rsidRPr="00365EBB">
        <w:rPr>
          <w:rFonts w:ascii="Times New Roman" w:eastAsia="Times New Roman" w:hAnsi="Times New Roman" w:cs="Times New Roman"/>
          <w:sz w:val="24"/>
          <w:szCs w:val="24"/>
          <w:lang w:eastAsia="it-IT"/>
        </w:rPr>
        <w:t>microimpresa</w:t>
      </w:r>
      <w:proofErr w:type="spellEnd"/>
      <w:r w:rsidRPr="00365EBB">
        <w:rPr>
          <w:rFonts w:ascii="Times New Roman" w:eastAsia="Times New Roman" w:hAnsi="Times New Roman" w:cs="Times New Roman"/>
          <w:sz w:val="24"/>
          <w:szCs w:val="24"/>
          <w:lang w:eastAsia="it-IT"/>
        </w:rPr>
        <w:t xml:space="preserve"> e un socio, parente o affine entro il terzo grado, collaboratore </w:t>
      </w:r>
      <w:bookmarkEnd w:id="3"/>
      <w:r w:rsidRPr="00365EBB">
        <w:rPr>
          <w:rFonts w:ascii="Times New Roman" w:eastAsia="Times New Roman" w:hAnsi="Times New Roman" w:cs="Times New Roman"/>
          <w:sz w:val="24"/>
          <w:szCs w:val="24"/>
          <w:lang w:eastAsia="it-IT"/>
        </w:rPr>
        <w:t>familiare o dipendente da almeno due anni al momento della successione.</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14" w:name="art100-com2"/>
      <w:bookmarkEnd w:id="14"/>
      <w:r w:rsidRPr="00365EBB">
        <w:rPr>
          <w:rFonts w:ascii="Times New Roman" w:eastAsia="Times New Roman" w:hAnsi="Times New Roman" w:cs="Times New Roman"/>
          <w:b/>
          <w:bCs/>
          <w:sz w:val="24"/>
          <w:szCs w:val="24"/>
          <w:lang w:eastAsia="it-IT"/>
        </w:rPr>
        <w:t xml:space="preserve">2. </w:t>
      </w:r>
      <w:r w:rsidRPr="00365EBB">
        <w:rPr>
          <w:rFonts w:ascii="Times New Roman" w:eastAsia="Times New Roman" w:hAnsi="Times New Roman" w:cs="Times New Roman"/>
          <w:sz w:val="24"/>
          <w:szCs w:val="24"/>
          <w:lang w:eastAsia="it-IT"/>
        </w:rPr>
        <w:t>Le iniziative di cui al comma 1, lettere da a) a h), sono incentivate nella misura massima del 50 per cento della spesa ammissibile.</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15" w:name="art100-com3"/>
      <w:bookmarkEnd w:id="15"/>
      <w:r w:rsidRPr="00365EBB">
        <w:rPr>
          <w:rFonts w:ascii="Times New Roman" w:eastAsia="Times New Roman" w:hAnsi="Times New Roman" w:cs="Times New Roman"/>
          <w:b/>
          <w:bCs/>
          <w:sz w:val="24"/>
          <w:szCs w:val="24"/>
          <w:lang w:eastAsia="it-IT"/>
        </w:rPr>
        <w:t xml:space="preserve">3. </w:t>
      </w:r>
      <w:r w:rsidRPr="00365EBB">
        <w:rPr>
          <w:rFonts w:ascii="Times New Roman" w:eastAsia="Times New Roman" w:hAnsi="Times New Roman" w:cs="Times New Roman"/>
          <w:sz w:val="24"/>
          <w:szCs w:val="24"/>
          <w:lang w:eastAsia="it-IT"/>
        </w:rPr>
        <w:t>Le iniziative di cui al comma 1, lettera a), poste in essere da imprese esercenti l'attività di rivendita di generi di monopolio sono incentivate nella misura massima del 65 per cento della spesa ammissibile.</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16" w:name="art100-com4"/>
      <w:bookmarkEnd w:id="16"/>
      <w:r w:rsidRPr="00365EBB">
        <w:rPr>
          <w:rFonts w:ascii="Times New Roman" w:eastAsia="Times New Roman" w:hAnsi="Times New Roman" w:cs="Times New Roman"/>
          <w:b/>
          <w:bCs/>
          <w:sz w:val="24"/>
          <w:szCs w:val="24"/>
          <w:lang w:eastAsia="it-IT"/>
        </w:rPr>
        <w:t xml:space="preserve">4. </w:t>
      </w:r>
      <w:r w:rsidRPr="00365EBB">
        <w:rPr>
          <w:rFonts w:ascii="Times New Roman" w:eastAsia="Times New Roman" w:hAnsi="Times New Roman" w:cs="Times New Roman"/>
          <w:sz w:val="24"/>
          <w:szCs w:val="24"/>
          <w:lang w:eastAsia="it-IT"/>
        </w:rPr>
        <w:t>Le iniziative di cui al comma 1, lettere i) e j), sono incentivate nella misura massima dell'80 per cento della spesa ammissibile. Nell'ambito dell'iniziativa di cui al comma 1, lettera j), sono ammissibili anche le spese per l'ottenimento di garanzie ovvero per il pagamento degli oneri finanziari in relazione a operazioni bancarie destinate al finanziamento dell'attività aziendale.</w:t>
      </w:r>
    </w:p>
    <w:p w:rsidR="00365EBB" w:rsidRPr="00365EBB" w:rsidRDefault="00365EBB" w:rsidP="00365EBB">
      <w:pPr>
        <w:spacing w:after="120" w:line="240" w:lineRule="auto"/>
        <w:rPr>
          <w:rFonts w:ascii="Times New Roman" w:eastAsia="Times New Roman" w:hAnsi="Times New Roman" w:cs="Times New Roman"/>
          <w:sz w:val="24"/>
          <w:szCs w:val="24"/>
          <w:lang w:eastAsia="it-IT"/>
        </w:rPr>
      </w:pPr>
      <w:bookmarkStart w:id="17" w:name="art100-com5"/>
      <w:bookmarkEnd w:id="17"/>
      <w:r w:rsidRPr="00365EBB">
        <w:rPr>
          <w:rFonts w:ascii="Times New Roman" w:eastAsia="Times New Roman" w:hAnsi="Times New Roman" w:cs="Times New Roman"/>
          <w:b/>
          <w:bCs/>
          <w:sz w:val="24"/>
          <w:szCs w:val="24"/>
          <w:lang w:eastAsia="it-IT"/>
        </w:rPr>
        <w:t xml:space="preserve">5. </w:t>
      </w:r>
      <w:r w:rsidRPr="00365EBB">
        <w:rPr>
          <w:rFonts w:ascii="Times New Roman" w:eastAsia="Times New Roman" w:hAnsi="Times New Roman" w:cs="Times New Roman"/>
          <w:sz w:val="24"/>
          <w:szCs w:val="24"/>
          <w:lang w:eastAsia="it-IT"/>
        </w:rPr>
        <w:t>Le funzioni amministrative concernenti la concessione degli incentivi di cui al comma 1 sono delegate al CATT FVG ai sensi dell'articolo 84 bis, comma 1, lettera a).</w:t>
      </w:r>
    </w:p>
    <w:p w:rsidR="00365EBB" w:rsidRPr="00365EBB" w:rsidRDefault="00365EBB" w:rsidP="00365EBB">
      <w:pPr>
        <w:spacing w:after="0" w:line="240" w:lineRule="auto"/>
        <w:rPr>
          <w:rFonts w:ascii="Times New Roman" w:eastAsia="Times New Roman" w:hAnsi="Times New Roman" w:cs="Times New Roman"/>
          <w:sz w:val="24"/>
          <w:szCs w:val="24"/>
          <w:lang w:eastAsia="it-IT"/>
        </w:rPr>
      </w:pPr>
      <w:bookmarkStart w:id="18" w:name="art100-com6"/>
      <w:bookmarkEnd w:id="18"/>
      <w:r w:rsidRPr="00365EBB">
        <w:rPr>
          <w:rFonts w:ascii="Times New Roman" w:eastAsia="Times New Roman" w:hAnsi="Times New Roman" w:cs="Times New Roman"/>
          <w:b/>
          <w:bCs/>
          <w:sz w:val="24"/>
          <w:szCs w:val="24"/>
          <w:lang w:eastAsia="it-IT"/>
        </w:rPr>
        <w:lastRenderedPageBreak/>
        <w:t xml:space="preserve">6. </w:t>
      </w:r>
      <w:r w:rsidRPr="00365EBB">
        <w:rPr>
          <w:rFonts w:ascii="Times New Roman" w:eastAsia="Times New Roman" w:hAnsi="Times New Roman" w:cs="Times New Roman"/>
          <w:sz w:val="24"/>
          <w:szCs w:val="24"/>
          <w:lang w:eastAsia="it-IT"/>
        </w:rPr>
        <w:t xml:space="preserve">Gli incentivi di cui al comma 1 sono concessi in applicazione del regolamento (UE) n. 1407/2013 della Commissione, del 18 dicembre 2013, relativo all'applicazione degli articoli 107 e 108 del trattato sul funzionamento dell'Unione europea agli aiuti "de </w:t>
      </w:r>
      <w:proofErr w:type="spellStart"/>
      <w:r w:rsidRPr="00365EBB">
        <w:rPr>
          <w:rFonts w:ascii="Times New Roman" w:eastAsia="Times New Roman" w:hAnsi="Times New Roman" w:cs="Times New Roman"/>
          <w:sz w:val="24"/>
          <w:szCs w:val="24"/>
          <w:lang w:eastAsia="it-IT"/>
        </w:rPr>
        <w:t>minimis</w:t>
      </w:r>
      <w:proofErr w:type="spellEnd"/>
      <w:r w:rsidRPr="00365EBB">
        <w:rPr>
          <w:rFonts w:ascii="Times New Roman" w:eastAsia="Times New Roman" w:hAnsi="Times New Roman" w:cs="Times New Roman"/>
          <w:sz w:val="24"/>
          <w:szCs w:val="24"/>
          <w:lang w:eastAsia="it-IT"/>
        </w:rPr>
        <w:t xml:space="preserve">", pubblicato in GUUE serie </w:t>
      </w:r>
      <w:hyperlink r:id="rId5" w:tgtFrame="_blank" w:tooltip="Il collegamento apre una nuova finestra" w:history="1">
        <w:r w:rsidRPr="00365EBB">
          <w:rPr>
            <w:rFonts w:ascii="Times New Roman" w:eastAsia="Times New Roman" w:hAnsi="Times New Roman" w:cs="Times New Roman"/>
            <w:color w:val="0000FF"/>
            <w:sz w:val="24"/>
            <w:szCs w:val="24"/>
            <w:u w:val="single"/>
            <w:lang w:eastAsia="it-IT"/>
          </w:rPr>
          <w:t>L n. 352 del 24 dicembre 2013</w:t>
        </w:r>
      </w:hyperlink>
      <w:r w:rsidRPr="00365EBB">
        <w:rPr>
          <w:rFonts w:ascii="Times New Roman" w:eastAsia="Times New Roman" w:hAnsi="Times New Roman" w:cs="Times New Roman"/>
          <w:sz w:val="24"/>
          <w:szCs w:val="24"/>
          <w:lang w:eastAsia="it-IT"/>
        </w:rPr>
        <w:t xml:space="preserve"> . </w:t>
      </w:r>
    </w:p>
    <w:p w:rsidR="00365EBB" w:rsidRPr="00365EBB" w:rsidRDefault="00365EBB" w:rsidP="00365EBB">
      <w:pPr>
        <w:spacing w:after="0" w:line="240" w:lineRule="auto"/>
        <w:rPr>
          <w:rFonts w:ascii="Times New Roman" w:eastAsia="Times New Roman" w:hAnsi="Times New Roman" w:cs="Times New Roman"/>
          <w:sz w:val="24"/>
          <w:szCs w:val="24"/>
          <w:lang w:eastAsia="it-IT"/>
        </w:rPr>
      </w:pPr>
      <w:bookmarkStart w:id="19" w:name="art100-com7"/>
      <w:bookmarkEnd w:id="19"/>
      <w:r w:rsidRPr="00365EBB">
        <w:rPr>
          <w:rFonts w:ascii="Times New Roman" w:eastAsia="Times New Roman" w:hAnsi="Times New Roman" w:cs="Times New Roman"/>
          <w:b/>
          <w:bCs/>
          <w:sz w:val="24"/>
          <w:szCs w:val="24"/>
          <w:lang w:eastAsia="it-IT"/>
        </w:rPr>
        <w:t xml:space="preserve">7. </w:t>
      </w:r>
      <w:r w:rsidRPr="00365EBB">
        <w:rPr>
          <w:rFonts w:ascii="Times New Roman" w:eastAsia="Times New Roman" w:hAnsi="Times New Roman" w:cs="Times New Roman"/>
          <w:sz w:val="24"/>
          <w:szCs w:val="24"/>
          <w:lang w:eastAsia="it-IT"/>
        </w:rPr>
        <w:t xml:space="preserve">Nel regolamento di esecuzione relativo al presente articolo possono essere anche previste </w:t>
      </w:r>
      <w:proofErr w:type="spellStart"/>
      <w:r w:rsidRPr="00365EBB">
        <w:rPr>
          <w:rFonts w:ascii="Times New Roman" w:eastAsia="Times New Roman" w:hAnsi="Times New Roman" w:cs="Times New Roman"/>
          <w:sz w:val="24"/>
          <w:szCs w:val="24"/>
          <w:lang w:eastAsia="it-IT"/>
        </w:rPr>
        <w:t>premialità</w:t>
      </w:r>
      <w:proofErr w:type="spellEnd"/>
      <w:r w:rsidRPr="00365EBB">
        <w:rPr>
          <w:rFonts w:ascii="Times New Roman" w:eastAsia="Times New Roman" w:hAnsi="Times New Roman" w:cs="Times New Roman"/>
          <w:sz w:val="24"/>
          <w:szCs w:val="24"/>
          <w:lang w:eastAsia="it-IT"/>
        </w:rPr>
        <w:t xml:space="preserve"> o priorità per i programmi d'investimento presentati dalle imprese per le quali i soggetti di cui all' </w:t>
      </w:r>
      <w:hyperlink r:id="rId6" w:tgtFrame="_blank" w:tooltip="Il collegamento apre una nuova finestra" w:history="1">
        <w:r w:rsidRPr="00365EBB">
          <w:rPr>
            <w:rFonts w:ascii="Times New Roman" w:eastAsia="Times New Roman" w:hAnsi="Times New Roman" w:cs="Times New Roman"/>
            <w:color w:val="0000FF"/>
            <w:sz w:val="24"/>
            <w:szCs w:val="24"/>
            <w:u w:val="single"/>
            <w:lang w:eastAsia="it-IT"/>
          </w:rPr>
          <w:t>articolo 71, comma 6 bis, del decreto legislativo 59/2010</w:t>
        </w:r>
      </w:hyperlink>
      <w:r w:rsidRPr="00365EBB">
        <w:rPr>
          <w:rFonts w:ascii="Times New Roman" w:eastAsia="Times New Roman" w:hAnsi="Times New Roman" w:cs="Times New Roman"/>
          <w:sz w:val="24"/>
          <w:szCs w:val="24"/>
          <w:lang w:eastAsia="it-IT"/>
        </w:rPr>
        <w:t xml:space="preserve"> risultano aver partecipato ai corsi formativi attestati nel libretto di cui all'articolo 8, comma 3, nonché possono essere individuate le aree territoriali in cui possono essere assegnati i contributi di cui al comma 1, lettera h).</w:t>
      </w:r>
    </w:p>
    <w:p w:rsidR="00365EBB" w:rsidRPr="00365EBB" w:rsidRDefault="00365EBB" w:rsidP="00365EBB">
      <w:pPr>
        <w:spacing w:after="0" w:line="240" w:lineRule="auto"/>
        <w:rPr>
          <w:rFonts w:ascii="Times New Roman" w:eastAsia="Times New Roman" w:hAnsi="Times New Roman" w:cs="Times New Roman"/>
          <w:sz w:val="24"/>
          <w:szCs w:val="24"/>
          <w:lang w:eastAsia="it-IT"/>
        </w:rPr>
      </w:pPr>
      <w:r w:rsidRPr="00365EBB">
        <w:rPr>
          <w:rFonts w:ascii="Times New Roman" w:eastAsia="Times New Roman" w:hAnsi="Times New Roman" w:cs="Times New Roman"/>
          <w:sz w:val="24"/>
          <w:szCs w:val="24"/>
          <w:lang w:eastAsia="it-IT"/>
        </w:rPr>
        <w:t>Note:</w:t>
      </w:r>
    </w:p>
    <w:bookmarkStart w:id="20" w:name="art100-not1"/>
    <w:bookmarkEnd w:id="20"/>
    <w:p w:rsidR="00365EBB" w:rsidRPr="00365EBB" w:rsidRDefault="00365EBB" w:rsidP="00365EBB">
      <w:pPr>
        <w:spacing w:after="0" w:line="240" w:lineRule="auto"/>
        <w:rPr>
          <w:rFonts w:ascii="Times New Roman" w:eastAsia="Times New Roman" w:hAnsi="Times New Roman" w:cs="Times New Roman"/>
          <w:sz w:val="24"/>
          <w:szCs w:val="24"/>
          <w:lang w:eastAsia="it-IT"/>
        </w:rPr>
      </w:pPr>
      <w:r w:rsidRPr="00365EBB">
        <w:rPr>
          <w:rFonts w:ascii="Times New Roman" w:eastAsia="Times New Roman" w:hAnsi="Times New Roman" w:cs="Times New Roman"/>
          <w:sz w:val="24"/>
          <w:szCs w:val="24"/>
          <w:lang w:eastAsia="it-IT"/>
        </w:rPr>
        <w:fldChar w:fldCharType="begin"/>
      </w:r>
      <w:r w:rsidRPr="00365EBB">
        <w:rPr>
          <w:rFonts w:ascii="Times New Roman" w:eastAsia="Times New Roman" w:hAnsi="Times New Roman" w:cs="Times New Roman"/>
          <w:sz w:val="24"/>
          <w:szCs w:val="24"/>
          <w:lang w:eastAsia="it-IT"/>
        </w:rPr>
        <w:instrText xml:space="preserve"> HYPERLINK "http://lexview-int.regione.fvg.it/fontinormative/xml/xmllex.aspx?anno=2007&amp;legge=1" \l "art7-com98" </w:instrText>
      </w:r>
      <w:r w:rsidRPr="00365EBB">
        <w:rPr>
          <w:rFonts w:ascii="Times New Roman" w:eastAsia="Times New Roman" w:hAnsi="Times New Roman" w:cs="Times New Roman"/>
          <w:sz w:val="24"/>
          <w:szCs w:val="24"/>
          <w:lang w:eastAsia="it-IT"/>
        </w:rPr>
        <w:fldChar w:fldCharType="separate"/>
      </w:r>
      <w:r w:rsidRPr="00365EBB">
        <w:rPr>
          <w:rFonts w:ascii="Times New Roman" w:eastAsia="Times New Roman" w:hAnsi="Times New Roman" w:cs="Times New Roman"/>
          <w:color w:val="0000FF"/>
          <w:sz w:val="24"/>
          <w:szCs w:val="24"/>
          <w:u w:val="single"/>
          <w:lang w:eastAsia="it-IT"/>
        </w:rPr>
        <w:t>1</w:t>
      </w:r>
      <w:r w:rsidRPr="00365EBB">
        <w:rPr>
          <w:rFonts w:ascii="Times New Roman" w:eastAsia="Times New Roman" w:hAnsi="Times New Roman" w:cs="Times New Roman"/>
          <w:sz w:val="24"/>
          <w:szCs w:val="24"/>
          <w:lang w:eastAsia="it-IT"/>
        </w:rPr>
        <w:fldChar w:fldCharType="end"/>
      </w:r>
      <w:r w:rsidRPr="00365EBB">
        <w:rPr>
          <w:rFonts w:ascii="Times New Roman" w:eastAsia="Times New Roman" w:hAnsi="Times New Roman" w:cs="Times New Roman"/>
          <w:sz w:val="24"/>
          <w:szCs w:val="24"/>
          <w:lang w:eastAsia="it-IT"/>
        </w:rPr>
        <w:t>Parole aggiunte al comma 1 da art. 7, comma 98, L. R. 1/2007</w:t>
      </w:r>
    </w:p>
    <w:bookmarkStart w:id="21" w:name="art100-not2"/>
    <w:bookmarkEnd w:id="21"/>
    <w:p w:rsidR="00365EBB" w:rsidRPr="00365EBB" w:rsidRDefault="00365EBB" w:rsidP="00365EBB">
      <w:pPr>
        <w:spacing w:after="0" w:line="240" w:lineRule="auto"/>
        <w:rPr>
          <w:rFonts w:ascii="Times New Roman" w:eastAsia="Times New Roman" w:hAnsi="Times New Roman" w:cs="Times New Roman"/>
          <w:sz w:val="24"/>
          <w:szCs w:val="24"/>
          <w:lang w:eastAsia="it-IT"/>
        </w:rPr>
      </w:pPr>
      <w:r w:rsidRPr="00365EBB">
        <w:rPr>
          <w:rFonts w:ascii="Times New Roman" w:eastAsia="Times New Roman" w:hAnsi="Times New Roman" w:cs="Times New Roman"/>
          <w:sz w:val="24"/>
          <w:szCs w:val="24"/>
          <w:lang w:eastAsia="it-IT"/>
        </w:rPr>
        <w:fldChar w:fldCharType="begin"/>
      </w:r>
      <w:r w:rsidRPr="00365EBB">
        <w:rPr>
          <w:rFonts w:ascii="Times New Roman" w:eastAsia="Times New Roman" w:hAnsi="Times New Roman" w:cs="Times New Roman"/>
          <w:sz w:val="24"/>
          <w:szCs w:val="24"/>
          <w:lang w:eastAsia="it-IT"/>
        </w:rPr>
        <w:instrText xml:space="preserve"> HYPERLINK "http://lexview-int.regione.fvg.it/fontinormative/xml/xmllex.aspx?anno=2012&amp;legge=27" \l "art2-com20" </w:instrText>
      </w:r>
      <w:r w:rsidRPr="00365EBB">
        <w:rPr>
          <w:rFonts w:ascii="Times New Roman" w:eastAsia="Times New Roman" w:hAnsi="Times New Roman" w:cs="Times New Roman"/>
          <w:sz w:val="24"/>
          <w:szCs w:val="24"/>
          <w:lang w:eastAsia="it-IT"/>
        </w:rPr>
        <w:fldChar w:fldCharType="separate"/>
      </w:r>
      <w:r w:rsidRPr="00365EBB">
        <w:rPr>
          <w:rFonts w:ascii="Times New Roman" w:eastAsia="Times New Roman" w:hAnsi="Times New Roman" w:cs="Times New Roman"/>
          <w:color w:val="0000FF"/>
          <w:sz w:val="24"/>
          <w:szCs w:val="24"/>
          <w:u w:val="single"/>
          <w:lang w:eastAsia="it-IT"/>
        </w:rPr>
        <w:t>2</w:t>
      </w:r>
      <w:r w:rsidRPr="00365EBB">
        <w:rPr>
          <w:rFonts w:ascii="Times New Roman" w:eastAsia="Times New Roman" w:hAnsi="Times New Roman" w:cs="Times New Roman"/>
          <w:sz w:val="24"/>
          <w:szCs w:val="24"/>
          <w:lang w:eastAsia="it-IT"/>
        </w:rPr>
        <w:fldChar w:fldCharType="end"/>
      </w:r>
      <w:r w:rsidRPr="00365EBB">
        <w:rPr>
          <w:rFonts w:ascii="Times New Roman" w:eastAsia="Times New Roman" w:hAnsi="Times New Roman" w:cs="Times New Roman"/>
          <w:sz w:val="24"/>
          <w:szCs w:val="24"/>
          <w:lang w:eastAsia="it-IT"/>
        </w:rPr>
        <w:t>Vedi la disciplina transitoria dell'articolo, stabilita da art. 2, comma 20, L. R. 27/2012</w:t>
      </w:r>
    </w:p>
    <w:bookmarkStart w:id="22" w:name="art100-not3"/>
    <w:bookmarkEnd w:id="22"/>
    <w:p w:rsidR="00365EBB" w:rsidRPr="00365EBB" w:rsidRDefault="00365EBB" w:rsidP="00365EBB">
      <w:pPr>
        <w:spacing w:after="0" w:line="240" w:lineRule="auto"/>
        <w:rPr>
          <w:rFonts w:ascii="Times New Roman" w:eastAsia="Times New Roman" w:hAnsi="Times New Roman" w:cs="Times New Roman"/>
          <w:sz w:val="24"/>
          <w:szCs w:val="24"/>
          <w:lang w:eastAsia="it-IT"/>
        </w:rPr>
      </w:pPr>
      <w:r w:rsidRPr="00365EBB">
        <w:rPr>
          <w:rFonts w:ascii="Times New Roman" w:eastAsia="Times New Roman" w:hAnsi="Times New Roman" w:cs="Times New Roman"/>
          <w:sz w:val="24"/>
          <w:szCs w:val="24"/>
          <w:lang w:eastAsia="it-IT"/>
        </w:rPr>
        <w:fldChar w:fldCharType="begin"/>
      </w:r>
      <w:r w:rsidRPr="00365EBB">
        <w:rPr>
          <w:rFonts w:ascii="Times New Roman" w:eastAsia="Times New Roman" w:hAnsi="Times New Roman" w:cs="Times New Roman"/>
          <w:sz w:val="24"/>
          <w:szCs w:val="24"/>
          <w:lang w:eastAsia="it-IT"/>
        </w:rPr>
        <w:instrText xml:space="preserve"> HYPERLINK "http://lexview-int.regione.fvg.it/fontinormative/xml/xmllex.aspx?anno=2015&amp;legge=19" \l "art22-com1" </w:instrText>
      </w:r>
      <w:r w:rsidRPr="00365EBB">
        <w:rPr>
          <w:rFonts w:ascii="Times New Roman" w:eastAsia="Times New Roman" w:hAnsi="Times New Roman" w:cs="Times New Roman"/>
          <w:sz w:val="24"/>
          <w:szCs w:val="24"/>
          <w:lang w:eastAsia="it-IT"/>
        </w:rPr>
        <w:fldChar w:fldCharType="separate"/>
      </w:r>
      <w:r w:rsidRPr="00365EBB">
        <w:rPr>
          <w:rFonts w:ascii="Times New Roman" w:eastAsia="Times New Roman" w:hAnsi="Times New Roman" w:cs="Times New Roman"/>
          <w:color w:val="0000FF"/>
          <w:sz w:val="24"/>
          <w:szCs w:val="24"/>
          <w:u w:val="single"/>
          <w:lang w:eastAsia="it-IT"/>
        </w:rPr>
        <w:t>3</w:t>
      </w:r>
      <w:r w:rsidRPr="00365EBB">
        <w:rPr>
          <w:rFonts w:ascii="Times New Roman" w:eastAsia="Times New Roman" w:hAnsi="Times New Roman" w:cs="Times New Roman"/>
          <w:sz w:val="24"/>
          <w:szCs w:val="24"/>
          <w:lang w:eastAsia="it-IT"/>
        </w:rPr>
        <w:fldChar w:fldCharType="end"/>
      </w:r>
      <w:r w:rsidRPr="00365EBB">
        <w:rPr>
          <w:rFonts w:ascii="Times New Roman" w:eastAsia="Times New Roman" w:hAnsi="Times New Roman" w:cs="Times New Roman"/>
          <w:sz w:val="24"/>
          <w:szCs w:val="24"/>
          <w:lang w:eastAsia="it-IT"/>
        </w:rPr>
        <w:t>Vedi la disciplina transitoria dell'articolo, stabilita da art. 22, comma 1, L. R. 19/2015</w:t>
      </w:r>
    </w:p>
    <w:bookmarkStart w:id="23" w:name="art100-not4"/>
    <w:bookmarkEnd w:id="23"/>
    <w:p w:rsidR="00365EBB" w:rsidRPr="00365EBB" w:rsidRDefault="00365EBB" w:rsidP="00365EBB">
      <w:pPr>
        <w:spacing w:after="0" w:line="240" w:lineRule="auto"/>
        <w:rPr>
          <w:rFonts w:ascii="Times New Roman" w:eastAsia="Times New Roman" w:hAnsi="Times New Roman" w:cs="Times New Roman"/>
          <w:sz w:val="24"/>
          <w:szCs w:val="24"/>
          <w:lang w:eastAsia="it-IT"/>
        </w:rPr>
      </w:pPr>
      <w:r w:rsidRPr="00365EBB">
        <w:rPr>
          <w:rFonts w:ascii="Times New Roman" w:eastAsia="Times New Roman" w:hAnsi="Times New Roman" w:cs="Times New Roman"/>
          <w:sz w:val="24"/>
          <w:szCs w:val="24"/>
          <w:lang w:eastAsia="it-IT"/>
        </w:rPr>
        <w:fldChar w:fldCharType="begin"/>
      </w:r>
      <w:r w:rsidRPr="00365EBB">
        <w:rPr>
          <w:rFonts w:ascii="Times New Roman" w:eastAsia="Times New Roman" w:hAnsi="Times New Roman" w:cs="Times New Roman"/>
          <w:sz w:val="24"/>
          <w:szCs w:val="24"/>
          <w:lang w:eastAsia="it-IT"/>
        </w:rPr>
        <w:instrText xml:space="preserve"> HYPERLINK "http://lexview-int.regione.fvg.it/fontinormative/xml/xmllex.aspx?anno=2016&amp;legge=4" \l "art10-com1" </w:instrText>
      </w:r>
      <w:r w:rsidRPr="00365EBB">
        <w:rPr>
          <w:rFonts w:ascii="Times New Roman" w:eastAsia="Times New Roman" w:hAnsi="Times New Roman" w:cs="Times New Roman"/>
          <w:sz w:val="24"/>
          <w:szCs w:val="24"/>
          <w:lang w:eastAsia="it-IT"/>
        </w:rPr>
        <w:fldChar w:fldCharType="separate"/>
      </w:r>
      <w:r w:rsidRPr="00365EBB">
        <w:rPr>
          <w:rFonts w:ascii="Times New Roman" w:eastAsia="Times New Roman" w:hAnsi="Times New Roman" w:cs="Times New Roman"/>
          <w:color w:val="0000FF"/>
          <w:sz w:val="24"/>
          <w:szCs w:val="24"/>
          <w:u w:val="single"/>
          <w:lang w:eastAsia="it-IT"/>
        </w:rPr>
        <w:t>4</w:t>
      </w:r>
      <w:r w:rsidRPr="00365EBB">
        <w:rPr>
          <w:rFonts w:ascii="Times New Roman" w:eastAsia="Times New Roman" w:hAnsi="Times New Roman" w:cs="Times New Roman"/>
          <w:sz w:val="24"/>
          <w:szCs w:val="24"/>
          <w:lang w:eastAsia="it-IT"/>
        </w:rPr>
        <w:fldChar w:fldCharType="end"/>
      </w:r>
      <w:r w:rsidRPr="00365EBB">
        <w:rPr>
          <w:rFonts w:ascii="Times New Roman" w:eastAsia="Times New Roman" w:hAnsi="Times New Roman" w:cs="Times New Roman"/>
          <w:sz w:val="24"/>
          <w:szCs w:val="24"/>
          <w:lang w:eastAsia="it-IT"/>
        </w:rPr>
        <w:t>Articolo sostituito da art. 10, comma 1, L. R. 4/</w:t>
      </w:r>
      <w:proofErr w:type="gramStart"/>
      <w:r w:rsidRPr="00365EBB">
        <w:rPr>
          <w:rFonts w:ascii="Times New Roman" w:eastAsia="Times New Roman" w:hAnsi="Times New Roman" w:cs="Times New Roman"/>
          <w:sz w:val="24"/>
          <w:szCs w:val="24"/>
          <w:lang w:eastAsia="it-IT"/>
        </w:rPr>
        <w:t>2016 ,</w:t>
      </w:r>
      <w:proofErr w:type="gramEnd"/>
      <w:r w:rsidRPr="00365EBB">
        <w:rPr>
          <w:rFonts w:ascii="Times New Roman" w:eastAsia="Times New Roman" w:hAnsi="Times New Roman" w:cs="Times New Roman"/>
          <w:sz w:val="24"/>
          <w:szCs w:val="24"/>
          <w:lang w:eastAsia="it-IT"/>
        </w:rPr>
        <w:t xml:space="preserve"> a decorrere dall'1 gennaio 2017, come disposto all'art. 13, c. 1, della medesima L.R. 4/2016.</w:t>
      </w:r>
    </w:p>
    <w:bookmarkStart w:id="24" w:name="art100-not5"/>
    <w:bookmarkEnd w:id="24"/>
    <w:p w:rsidR="00365EBB" w:rsidRPr="00365EBB" w:rsidRDefault="00365EBB" w:rsidP="00365EBB">
      <w:pPr>
        <w:spacing w:after="0" w:line="240" w:lineRule="auto"/>
        <w:rPr>
          <w:rFonts w:ascii="Times New Roman" w:eastAsia="Times New Roman" w:hAnsi="Times New Roman" w:cs="Times New Roman"/>
          <w:sz w:val="24"/>
          <w:szCs w:val="24"/>
          <w:lang w:eastAsia="it-IT"/>
        </w:rPr>
      </w:pPr>
      <w:r w:rsidRPr="00365EBB">
        <w:rPr>
          <w:rFonts w:ascii="Times New Roman" w:eastAsia="Times New Roman" w:hAnsi="Times New Roman" w:cs="Times New Roman"/>
          <w:sz w:val="24"/>
          <w:szCs w:val="24"/>
          <w:lang w:eastAsia="it-IT"/>
        </w:rPr>
        <w:fldChar w:fldCharType="begin"/>
      </w:r>
      <w:r w:rsidRPr="00365EBB">
        <w:rPr>
          <w:rFonts w:ascii="Times New Roman" w:eastAsia="Times New Roman" w:hAnsi="Times New Roman" w:cs="Times New Roman"/>
          <w:sz w:val="24"/>
          <w:szCs w:val="24"/>
          <w:lang w:eastAsia="it-IT"/>
        </w:rPr>
        <w:instrText xml:space="preserve"> HYPERLINK "http://lexview-int.regione.fvg.it/fontinormative/xml/xmllex.aspx?anno=2016&amp;legge=14" \l "art2-com11" </w:instrText>
      </w:r>
      <w:r w:rsidRPr="00365EBB">
        <w:rPr>
          <w:rFonts w:ascii="Times New Roman" w:eastAsia="Times New Roman" w:hAnsi="Times New Roman" w:cs="Times New Roman"/>
          <w:sz w:val="24"/>
          <w:szCs w:val="24"/>
          <w:lang w:eastAsia="it-IT"/>
        </w:rPr>
        <w:fldChar w:fldCharType="separate"/>
      </w:r>
      <w:r w:rsidRPr="00365EBB">
        <w:rPr>
          <w:rFonts w:ascii="Times New Roman" w:eastAsia="Times New Roman" w:hAnsi="Times New Roman" w:cs="Times New Roman"/>
          <w:color w:val="0000FF"/>
          <w:sz w:val="24"/>
          <w:szCs w:val="24"/>
          <w:u w:val="single"/>
          <w:lang w:eastAsia="it-IT"/>
        </w:rPr>
        <w:t>5</w:t>
      </w:r>
      <w:r w:rsidRPr="00365EBB">
        <w:rPr>
          <w:rFonts w:ascii="Times New Roman" w:eastAsia="Times New Roman" w:hAnsi="Times New Roman" w:cs="Times New Roman"/>
          <w:sz w:val="24"/>
          <w:szCs w:val="24"/>
          <w:lang w:eastAsia="it-IT"/>
        </w:rPr>
        <w:fldChar w:fldCharType="end"/>
      </w:r>
      <w:r w:rsidRPr="00365EBB">
        <w:rPr>
          <w:rFonts w:ascii="Times New Roman" w:eastAsia="Times New Roman" w:hAnsi="Times New Roman" w:cs="Times New Roman"/>
          <w:sz w:val="24"/>
          <w:szCs w:val="24"/>
          <w:lang w:eastAsia="it-IT"/>
        </w:rPr>
        <w:t>Vedi la disciplina transitoria dell'articolo, stabilita da art. 2, comma 11, L. R. 14/2016</w:t>
      </w:r>
    </w:p>
    <w:p w:rsidR="00365EBB" w:rsidRPr="00365EBB" w:rsidRDefault="00365EBB" w:rsidP="00365EBB">
      <w:pPr>
        <w:spacing w:after="240" w:line="240" w:lineRule="auto"/>
        <w:rPr>
          <w:rFonts w:ascii="Times New Roman" w:eastAsia="Times New Roman" w:hAnsi="Times New Roman" w:cs="Times New Roman"/>
          <w:sz w:val="24"/>
          <w:szCs w:val="24"/>
          <w:lang w:eastAsia="it-IT"/>
        </w:rPr>
      </w:pPr>
    </w:p>
    <w:sectPr w:rsidR="00365EBB" w:rsidRPr="00365E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1718"/>
    <w:multiLevelType w:val="multilevel"/>
    <w:tmpl w:val="74E6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93C6D"/>
    <w:multiLevelType w:val="multilevel"/>
    <w:tmpl w:val="CBE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BB"/>
    <w:rsid w:val="00365EBB"/>
    <w:rsid w:val="00691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B06AF-CE88-4A63-930A-121583FD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5E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5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82692">
      <w:bodyDiv w:val="1"/>
      <w:marLeft w:val="0"/>
      <w:marRight w:val="0"/>
      <w:marTop w:val="0"/>
      <w:marBottom w:val="0"/>
      <w:divBdr>
        <w:top w:val="none" w:sz="0" w:space="0" w:color="auto"/>
        <w:left w:val="none" w:sz="0" w:space="0" w:color="auto"/>
        <w:bottom w:val="none" w:sz="0" w:space="0" w:color="auto"/>
        <w:right w:val="none" w:sz="0" w:space="0" w:color="auto"/>
      </w:divBdr>
      <w:divsChild>
        <w:div w:id="1302232830">
          <w:marLeft w:val="0"/>
          <w:marRight w:val="0"/>
          <w:marTop w:val="0"/>
          <w:marBottom w:val="0"/>
          <w:divBdr>
            <w:top w:val="none" w:sz="0" w:space="0" w:color="auto"/>
            <w:left w:val="none" w:sz="0" w:space="0" w:color="auto"/>
            <w:bottom w:val="none" w:sz="0" w:space="0" w:color="auto"/>
            <w:right w:val="none" w:sz="0" w:space="0" w:color="auto"/>
          </w:divBdr>
        </w:div>
        <w:div w:id="2057966183">
          <w:marLeft w:val="0"/>
          <w:marRight w:val="0"/>
          <w:marTop w:val="0"/>
          <w:marBottom w:val="0"/>
          <w:divBdr>
            <w:top w:val="none" w:sz="0" w:space="0" w:color="auto"/>
            <w:left w:val="none" w:sz="0" w:space="0" w:color="auto"/>
            <w:bottom w:val="none" w:sz="0" w:space="0" w:color="auto"/>
            <w:right w:val="none" w:sz="0" w:space="0" w:color="auto"/>
          </w:divBdr>
        </w:div>
        <w:div w:id="695739707">
          <w:marLeft w:val="0"/>
          <w:marRight w:val="0"/>
          <w:marTop w:val="0"/>
          <w:marBottom w:val="0"/>
          <w:divBdr>
            <w:top w:val="none" w:sz="0" w:space="0" w:color="auto"/>
            <w:left w:val="none" w:sz="0" w:space="0" w:color="auto"/>
            <w:bottom w:val="none" w:sz="0" w:space="0" w:color="auto"/>
            <w:right w:val="none" w:sz="0" w:space="0" w:color="auto"/>
          </w:divBdr>
          <w:divsChild>
            <w:div w:id="1854298987">
              <w:marLeft w:val="0"/>
              <w:marRight w:val="0"/>
              <w:marTop w:val="0"/>
              <w:marBottom w:val="0"/>
              <w:divBdr>
                <w:top w:val="none" w:sz="0" w:space="0" w:color="auto"/>
                <w:left w:val="none" w:sz="0" w:space="0" w:color="auto"/>
                <w:bottom w:val="none" w:sz="0" w:space="0" w:color="auto"/>
                <w:right w:val="none" w:sz="0" w:space="0" w:color="auto"/>
              </w:divBdr>
              <w:divsChild>
                <w:div w:id="2087803046">
                  <w:marLeft w:val="0"/>
                  <w:marRight w:val="0"/>
                  <w:marTop w:val="0"/>
                  <w:marBottom w:val="0"/>
                  <w:divBdr>
                    <w:top w:val="none" w:sz="0" w:space="0" w:color="auto"/>
                    <w:left w:val="none" w:sz="0" w:space="0" w:color="auto"/>
                    <w:bottom w:val="none" w:sz="0" w:space="0" w:color="auto"/>
                    <w:right w:val="none" w:sz="0" w:space="0" w:color="auto"/>
                  </w:divBdr>
                  <w:divsChild>
                    <w:div w:id="1740713423">
                      <w:marLeft w:val="0"/>
                      <w:marRight w:val="0"/>
                      <w:marTop w:val="0"/>
                      <w:marBottom w:val="0"/>
                      <w:divBdr>
                        <w:top w:val="none" w:sz="0" w:space="0" w:color="auto"/>
                        <w:left w:val="none" w:sz="0" w:space="0" w:color="auto"/>
                        <w:bottom w:val="none" w:sz="0" w:space="0" w:color="auto"/>
                        <w:right w:val="none" w:sz="0" w:space="0" w:color="auto"/>
                      </w:divBdr>
                      <w:divsChild>
                        <w:div w:id="869103333">
                          <w:marLeft w:val="0"/>
                          <w:marRight w:val="0"/>
                          <w:marTop w:val="0"/>
                          <w:marBottom w:val="0"/>
                          <w:divBdr>
                            <w:top w:val="none" w:sz="0" w:space="0" w:color="auto"/>
                            <w:left w:val="none" w:sz="0" w:space="0" w:color="auto"/>
                            <w:bottom w:val="none" w:sz="0" w:space="0" w:color="auto"/>
                            <w:right w:val="none" w:sz="0" w:space="0" w:color="auto"/>
                          </w:divBdr>
                          <w:divsChild>
                            <w:div w:id="187109515">
                              <w:marLeft w:val="0"/>
                              <w:marRight w:val="0"/>
                              <w:marTop w:val="0"/>
                              <w:marBottom w:val="0"/>
                              <w:divBdr>
                                <w:top w:val="none" w:sz="0" w:space="0" w:color="auto"/>
                                <w:left w:val="none" w:sz="0" w:space="0" w:color="auto"/>
                                <w:bottom w:val="none" w:sz="0" w:space="0" w:color="auto"/>
                                <w:right w:val="none" w:sz="0" w:space="0" w:color="auto"/>
                              </w:divBdr>
                              <w:divsChild>
                                <w:div w:id="2119130675">
                                  <w:marLeft w:val="0"/>
                                  <w:marRight w:val="0"/>
                                  <w:marTop w:val="0"/>
                                  <w:marBottom w:val="0"/>
                                  <w:divBdr>
                                    <w:top w:val="none" w:sz="0" w:space="0" w:color="auto"/>
                                    <w:left w:val="none" w:sz="0" w:space="0" w:color="auto"/>
                                    <w:bottom w:val="none" w:sz="0" w:space="0" w:color="auto"/>
                                    <w:right w:val="none" w:sz="0" w:space="0" w:color="auto"/>
                                  </w:divBdr>
                                </w:div>
                                <w:div w:id="1428190977">
                                  <w:marLeft w:val="0"/>
                                  <w:marRight w:val="0"/>
                                  <w:marTop w:val="0"/>
                                  <w:marBottom w:val="0"/>
                                  <w:divBdr>
                                    <w:top w:val="none" w:sz="0" w:space="0" w:color="auto"/>
                                    <w:left w:val="none" w:sz="0" w:space="0" w:color="auto"/>
                                    <w:bottom w:val="none" w:sz="0" w:space="0" w:color="auto"/>
                                    <w:right w:val="none" w:sz="0" w:space="0" w:color="auto"/>
                                  </w:divBdr>
                                  <w:divsChild>
                                    <w:div w:id="1475609222">
                                      <w:marLeft w:val="0"/>
                                      <w:marRight w:val="0"/>
                                      <w:marTop w:val="0"/>
                                      <w:marBottom w:val="0"/>
                                      <w:divBdr>
                                        <w:top w:val="none" w:sz="0" w:space="0" w:color="auto"/>
                                        <w:left w:val="none" w:sz="0" w:space="0" w:color="auto"/>
                                        <w:bottom w:val="none" w:sz="0" w:space="0" w:color="auto"/>
                                        <w:right w:val="none" w:sz="0" w:space="0" w:color="auto"/>
                                      </w:divBdr>
                                      <w:divsChild>
                                        <w:div w:id="1996567880">
                                          <w:marLeft w:val="0"/>
                                          <w:marRight w:val="0"/>
                                          <w:marTop w:val="0"/>
                                          <w:marBottom w:val="0"/>
                                          <w:divBdr>
                                            <w:top w:val="none" w:sz="0" w:space="0" w:color="auto"/>
                                            <w:left w:val="none" w:sz="0" w:space="0" w:color="auto"/>
                                            <w:bottom w:val="none" w:sz="0" w:space="0" w:color="auto"/>
                                            <w:right w:val="none" w:sz="0" w:space="0" w:color="auto"/>
                                          </w:divBdr>
                                        </w:div>
                                        <w:div w:id="569733424">
                                          <w:marLeft w:val="0"/>
                                          <w:marRight w:val="0"/>
                                          <w:marTop w:val="0"/>
                                          <w:marBottom w:val="0"/>
                                          <w:divBdr>
                                            <w:top w:val="none" w:sz="0" w:space="0" w:color="auto"/>
                                            <w:left w:val="none" w:sz="0" w:space="0" w:color="auto"/>
                                            <w:bottom w:val="none" w:sz="0" w:space="0" w:color="auto"/>
                                            <w:right w:val="none" w:sz="0" w:space="0" w:color="auto"/>
                                          </w:divBdr>
                                        </w:div>
                                      </w:divsChild>
                                    </w:div>
                                    <w:div w:id="595946453">
                                      <w:marLeft w:val="0"/>
                                      <w:marRight w:val="0"/>
                                      <w:marTop w:val="0"/>
                                      <w:marBottom w:val="0"/>
                                      <w:divBdr>
                                        <w:top w:val="none" w:sz="0" w:space="0" w:color="auto"/>
                                        <w:left w:val="none" w:sz="0" w:space="0" w:color="auto"/>
                                        <w:bottom w:val="none" w:sz="0" w:space="0" w:color="auto"/>
                                        <w:right w:val="none" w:sz="0" w:space="0" w:color="auto"/>
                                      </w:divBdr>
                                      <w:divsChild>
                                        <w:div w:id="1765691437">
                                          <w:marLeft w:val="0"/>
                                          <w:marRight w:val="0"/>
                                          <w:marTop w:val="0"/>
                                          <w:marBottom w:val="0"/>
                                          <w:divBdr>
                                            <w:top w:val="none" w:sz="0" w:space="0" w:color="auto"/>
                                            <w:left w:val="none" w:sz="0" w:space="0" w:color="auto"/>
                                            <w:bottom w:val="none" w:sz="0" w:space="0" w:color="auto"/>
                                            <w:right w:val="none" w:sz="0" w:space="0" w:color="auto"/>
                                          </w:divBdr>
                                        </w:div>
                                        <w:div w:id="1836341445">
                                          <w:marLeft w:val="0"/>
                                          <w:marRight w:val="0"/>
                                          <w:marTop w:val="0"/>
                                          <w:marBottom w:val="0"/>
                                          <w:divBdr>
                                            <w:top w:val="none" w:sz="0" w:space="0" w:color="auto"/>
                                            <w:left w:val="none" w:sz="0" w:space="0" w:color="auto"/>
                                            <w:bottom w:val="none" w:sz="0" w:space="0" w:color="auto"/>
                                            <w:right w:val="none" w:sz="0" w:space="0" w:color="auto"/>
                                          </w:divBdr>
                                        </w:div>
                                      </w:divsChild>
                                    </w:div>
                                    <w:div w:id="600603459">
                                      <w:marLeft w:val="0"/>
                                      <w:marRight w:val="0"/>
                                      <w:marTop w:val="0"/>
                                      <w:marBottom w:val="0"/>
                                      <w:divBdr>
                                        <w:top w:val="none" w:sz="0" w:space="0" w:color="auto"/>
                                        <w:left w:val="none" w:sz="0" w:space="0" w:color="auto"/>
                                        <w:bottom w:val="none" w:sz="0" w:space="0" w:color="auto"/>
                                        <w:right w:val="none" w:sz="0" w:space="0" w:color="auto"/>
                                      </w:divBdr>
                                      <w:divsChild>
                                        <w:div w:id="1961913232">
                                          <w:marLeft w:val="0"/>
                                          <w:marRight w:val="0"/>
                                          <w:marTop w:val="0"/>
                                          <w:marBottom w:val="0"/>
                                          <w:divBdr>
                                            <w:top w:val="none" w:sz="0" w:space="0" w:color="auto"/>
                                            <w:left w:val="none" w:sz="0" w:space="0" w:color="auto"/>
                                            <w:bottom w:val="none" w:sz="0" w:space="0" w:color="auto"/>
                                            <w:right w:val="none" w:sz="0" w:space="0" w:color="auto"/>
                                          </w:divBdr>
                                        </w:div>
                                        <w:div w:id="731735775">
                                          <w:marLeft w:val="0"/>
                                          <w:marRight w:val="0"/>
                                          <w:marTop w:val="0"/>
                                          <w:marBottom w:val="0"/>
                                          <w:divBdr>
                                            <w:top w:val="none" w:sz="0" w:space="0" w:color="auto"/>
                                            <w:left w:val="none" w:sz="0" w:space="0" w:color="auto"/>
                                            <w:bottom w:val="none" w:sz="0" w:space="0" w:color="auto"/>
                                            <w:right w:val="none" w:sz="0" w:space="0" w:color="auto"/>
                                          </w:divBdr>
                                        </w:div>
                                      </w:divsChild>
                                    </w:div>
                                    <w:div w:id="1505508460">
                                      <w:marLeft w:val="0"/>
                                      <w:marRight w:val="0"/>
                                      <w:marTop w:val="0"/>
                                      <w:marBottom w:val="0"/>
                                      <w:divBdr>
                                        <w:top w:val="none" w:sz="0" w:space="0" w:color="auto"/>
                                        <w:left w:val="none" w:sz="0" w:space="0" w:color="auto"/>
                                        <w:bottom w:val="none" w:sz="0" w:space="0" w:color="auto"/>
                                        <w:right w:val="none" w:sz="0" w:space="0" w:color="auto"/>
                                      </w:divBdr>
                                    </w:div>
                                    <w:div w:id="1382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654">
                          <w:marLeft w:val="0"/>
                          <w:marRight w:val="0"/>
                          <w:marTop w:val="0"/>
                          <w:marBottom w:val="0"/>
                          <w:divBdr>
                            <w:top w:val="none" w:sz="0" w:space="0" w:color="auto"/>
                            <w:left w:val="none" w:sz="0" w:space="0" w:color="auto"/>
                            <w:bottom w:val="none" w:sz="0" w:space="0" w:color="auto"/>
                            <w:right w:val="none" w:sz="0" w:space="0" w:color="auto"/>
                          </w:divBdr>
                          <w:divsChild>
                            <w:div w:id="326909987">
                              <w:marLeft w:val="0"/>
                              <w:marRight w:val="0"/>
                              <w:marTop w:val="0"/>
                              <w:marBottom w:val="0"/>
                              <w:divBdr>
                                <w:top w:val="none" w:sz="0" w:space="0" w:color="auto"/>
                                <w:left w:val="none" w:sz="0" w:space="0" w:color="auto"/>
                                <w:bottom w:val="none" w:sz="0" w:space="0" w:color="auto"/>
                                <w:right w:val="none" w:sz="0" w:space="0" w:color="auto"/>
                              </w:divBdr>
                              <w:divsChild>
                                <w:div w:id="2053580620">
                                  <w:marLeft w:val="0"/>
                                  <w:marRight w:val="0"/>
                                  <w:marTop w:val="0"/>
                                  <w:marBottom w:val="0"/>
                                  <w:divBdr>
                                    <w:top w:val="none" w:sz="0" w:space="0" w:color="auto"/>
                                    <w:left w:val="none" w:sz="0" w:space="0" w:color="auto"/>
                                    <w:bottom w:val="none" w:sz="0" w:space="0" w:color="auto"/>
                                    <w:right w:val="none" w:sz="0" w:space="0" w:color="auto"/>
                                  </w:divBdr>
                                  <w:divsChild>
                                    <w:div w:id="835919927">
                                      <w:marLeft w:val="0"/>
                                      <w:marRight w:val="0"/>
                                      <w:marTop w:val="0"/>
                                      <w:marBottom w:val="0"/>
                                      <w:divBdr>
                                        <w:top w:val="none" w:sz="0" w:space="0" w:color="auto"/>
                                        <w:left w:val="none" w:sz="0" w:space="0" w:color="auto"/>
                                        <w:bottom w:val="none" w:sz="0" w:space="0" w:color="auto"/>
                                        <w:right w:val="none" w:sz="0" w:space="0" w:color="auto"/>
                                      </w:divBdr>
                                      <w:divsChild>
                                        <w:div w:id="1586183591">
                                          <w:marLeft w:val="0"/>
                                          <w:marRight w:val="0"/>
                                          <w:marTop w:val="0"/>
                                          <w:marBottom w:val="0"/>
                                          <w:divBdr>
                                            <w:top w:val="none" w:sz="0" w:space="0" w:color="auto"/>
                                            <w:left w:val="none" w:sz="0" w:space="0" w:color="auto"/>
                                            <w:bottom w:val="none" w:sz="0" w:space="0" w:color="auto"/>
                                            <w:right w:val="none" w:sz="0" w:space="0" w:color="auto"/>
                                          </w:divBdr>
                                        </w:div>
                                        <w:div w:id="1761370666">
                                          <w:marLeft w:val="0"/>
                                          <w:marRight w:val="0"/>
                                          <w:marTop w:val="0"/>
                                          <w:marBottom w:val="0"/>
                                          <w:divBdr>
                                            <w:top w:val="none" w:sz="0" w:space="0" w:color="auto"/>
                                            <w:left w:val="none" w:sz="0" w:space="0" w:color="auto"/>
                                            <w:bottom w:val="none" w:sz="0" w:space="0" w:color="auto"/>
                                            <w:right w:val="none" w:sz="0" w:space="0" w:color="auto"/>
                                          </w:divBdr>
                                          <w:divsChild>
                                            <w:div w:id="1051348742">
                                              <w:marLeft w:val="0"/>
                                              <w:marRight w:val="0"/>
                                              <w:marTop w:val="0"/>
                                              <w:marBottom w:val="0"/>
                                              <w:divBdr>
                                                <w:top w:val="none" w:sz="0" w:space="0" w:color="auto"/>
                                                <w:left w:val="none" w:sz="0" w:space="0" w:color="auto"/>
                                                <w:bottom w:val="none" w:sz="0" w:space="0" w:color="auto"/>
                                                <w:right w:val="none" w:sz="0" w:space="0" w:color="auto"/>
                                              </w:divBdr>
                                            </w:div>
                                            <w:div w:id="1075863099">
                                              <w:marLeft w:val="0"/>
                                              <w:marRight w:val="0"/>
                                              <w:marTop w:val="0"/>
                                              <w:marBottom w:val="0"/>
                                              <w:divBdr>
                                                <w:top w:val="none" w:sz="0" w:space="0" w:color="auto"/>
                                                <w:left w:val="none" w:sz="0" w:space="0" w:color="auto"/>
                                                <w:bottom w:val="none" w:sz="0" w:space="0" w:color="auto"/>
                                                <w:right w:val="none" w:sz="0" w:space="0" w:color="auto"/>
                                              </w:divBdr>
                                            </w:div>
                                            <w:div w:id="303119511">
                                              <w:marLeft w:val="0"/>
                                              <w:marRight w:val="0"/>
                                              <w:marTop w:val="0"/>
                                              <w:marBottom w:val="0"/>
                                              <w:divBdr>
                                                <w:top w:val="none" w:sz="0" w:space="0" w:color="auto"/>
                                                <w:left w:val="none" w:sz="0" w:space="0" w:color="auto"/>
                                                <w:bottom w:val="none" w:sz="0" w:space="0" w:color="auto"/>
                                                <w:right w:val="none" w:sz="0" w:space="0" w:color="auto"/>
                                              </w:divBdr>
                                            </w:div>
                                            <w:div w:id="156388237">
                                              <w:marLeft w:val="0"/>
                                              <w:marRight w:val="0"/>
                                              <w:marTop w:val="0"/>
                                              <w:marBottom w:val="0"/>
                                              <w:divBdr>
                                                <w:top w:val="none" w:sz="0" w:space="0" w:color="auto"/>
                                                <w:left w:val="none" w:sz="0" w:space="0" w:color="auto"/>
                                                <w:bottom w:val="none" w:sz="0" w:space="0" w:color="auto"/>
                                                <w:right w:val="none" w:sz="0" w:space="0" w:color="auto"/>
                                              </w:divBdr>
                                            </w:div>
                                            <w:div w:id="24186189">
                                              <w:marLeft w:val="0"/>
                                              <w:marRight w:val="0"/>
                                              <w:marTop w:val="0"/>
                                              <w:marBottom w:val="0"/>
                                              <w:divBdr>
                                                <w:top w:val="none" w:sz="0" w:space="0" w:color="auto"/>
                                                <w:left w:val="none" w:sz="0" w:space="0" w:color="auto"/>
                                                <w:bottom w:val="none" w:sz="0" w:space="0" w:color="auto"/>
                                                <w:right w:val="none" w:sz="0" w:space="0" w:color="auto"/>
                                              </w:divBdr>
                                            </w:div>
                                            <w:div w:id="1044988613">
                                              <w:marLeft w:val="0"/>
                                              <w:marRight w:val="0"/>
                                              <w:marTop w:val="0"/>
                                              <w:marBottom w:val="0"/>
                                              <w:divBdr>
                                                <w:top w:val="none" w:sz="0" w:space="0" w:color="auto"/>
                                                <w:left w:val="none" w:sz="0" w:space="0" w:color="auto"/>
                                                <w:bottom w:val="none" w:sz="0" w:space="0" w:color="auto"/>
                                                <w:right w:val="none" w:sz="0" w:space="0" w:color="auto"/>
                                              </w:divBdr>
                                            </w:div>
                                            <w:div w:id="144932012">
                                              <w:marLeft w:val="0"/>
                                              <w:marRight w:val="0"/>
                                              <w:marTop w:val="0"/>
                                              <w:marBottom w:val="0"/>
                                              <w:divBdr>
                                                <w:top w:val="none" w:sz="0" w:space="0" w:color="auto"/>
                                                <w:left w:val="none" w:sz="0" w:space="0" w:color="auto"/>
                                                <w:bottom w:val="none" w:sz="0" w:space="0" w:color="auto"/>
                                                <w:right w:val="none" w:sz="0" w:space="0" w:color="auto"/>
                                              </w:divBdr>
                                            </w:div>
                                            <w:div w:id="2118257655">
                                              <w:marLeft w:val="0"/>
                                              <w:marRight w:val="0"/>
                                              <w:marTop w:val="0"/>
                                              <w:marBottom w:val="0"/>
                                              <w:divBdr>
                                                <w:top w:val="none" w:sz="0" w:space="0" w:color="auto"/>
                                                <w:left w:val="none" w:sz="0" w:space="0" w:color="auto"/>
                                                <w:bottom w:val="none" w:sz="0" w:space="0" w:color="auto"/>
                                                <w:right w:val="none" w:sz="0" w:space="0" w:color="auto"/>
                                              </w:divBdr>
                                            </w:div>
                                            <w:div w:id="377627212">
                                              <w:marLeft w:val="0"/>
                                              <w:marRight w:val="0"/>
                                              <w:marTop w:val="0"/>
                                              <w:marBottom w:val="0"/>
                                              <w:divBdr>
                                                <w:top w:val="none" w:sz="0" w:space="0" w:color="auto"/>
                                                <w:left w:val="none" w:sz="0" w:space="0" w:color="auto"/>
                                                <w:bottom w:val="none" w:sz="0" w:space="0" w:color="auto"/>
                                                <w:right w:val="none" w:sz="0" w:space="0" w:color="auto"/>
                                              </w:divBdr>
                                            </w:div>
                                            <w:div w:id="1349330799">
                                              <w:marLeft w:val="0"/>
                                              <w:marRight w:val="0"/>
                                              <w:marTop w:val="0"/>
                                              <w:marBottom w:val="0"/>
                                              <w:divBdr>
                                                <w:top w:val="none" w:sz="0" w:space="0" w:color="auto"/>
                                                <w:left w:val="none" w:sz="0" w:space="0" w:color="auto"/>
                                                <w:bottom w:val="none" w:sz="0" w:space="0" w:color="auto"/>
                                                <w:right w:val="none" w:sz="0" w:space="0" w:color="auto"/>
                                              </w:divBdr>
                                            </w:div>
                                          </w:divsChild>
                                        </w:div>
                                        <w:div w:id="119498564">
                                          <w:marLeft w:val="0"/>
                                          <w:marRight w:val="0"/>
                                          <w:marTop w:val="0"/>
                                          <w:marBottom w:val="0"/>
                                          <w:divBdr>
                                            <w:top w:val="none" w:sz="0" w:space="0" w:color="auto"/>
                                            <w:left w:val="none" w:sz="0" w:space="0" w:color="auto"/>
                                            <w:bottom w:val="none" w:sz="0" w:space="0" w:color="auto"/>
                                            <w:right w:val="none" w:sz="0" w:space="0" w:color="auto"/>
                                          </w:divBdr>
                                        </w:div>
                                        <w:div w:id="1220634366">
                                          <w:marLeft w:val="0"/>
                                          <w:marRight w:val="0"/>
                                          <w:marTop w:val="0"/>
                                          <w:marBottom w:val="0"/>
                                          <w:divBdr>
                                            <w:top w:val="none" w:sz="0" w:space="0" w:color="auto"/>
                                            <w:left w:val="none" w:sz="0" w:space="0" w:color="auto"/>
                                            <w:bottom w:val="none" w:sz="0" w:space="0" w:color="auto"/>
                                            <w:right w:val="none" w:sz="0" w:space="0" w:color="auto"/>
                                          </w:divBdr>
                                        </w:div>
                                        <w:div w:id="1421636802">
                                          <w:marLeft w:val="0"/>
                                          <w:marRight w:val="0"/>
                                          <w:marTop w:val="0"/>
                                          <w:marBottom w:val="0"/>
                                          <w:divBdr>
                                            <w:top w:val="none" w:sz="0" w:space="0" w:color="auto"/>
                                            <w:left w:val="none" w:sz="0" w:space="0" w:color="auto"/>
                                            <w:bottom w:val="none" w:sz="0" w:space="0" w:color="auto"/>
                                            <w:right w:val="none" w:sz="0" w:space="0" w:color="auto"/>
                                          </w:divBdr>
                                        </w:div>
                                        <w:div w:id="1490442708">
                                          <w:marLeft w:val="0"/>
                                          <w:marRight w:val="0"/>
                                          <w:marTop w:val="0"/>
                                          <w:marBottom w:val="0"/>
                                          <w:divBdr>
                                            <w:top w:val="none" w:sz="0" w:space="0" w:color="auto"/>
                                            <w:left w:val="none" w:sz="0" w:space="0" w:color="auto"/>
                                            <w:bottom w:val="none" w:sz="0" w:space="0" w:color="auto"/>
                                            <w:right w:val="none" w:sz="0" w:space="0" w:color="auto"/>
                                          </w:divBdr>
                                        </w:div>
                                        <w:div w:id="1141117637">
                                          <w:marLeft w:val="0"/>
                                          <w:marRight w:val="0"/>
                                          <w:marTop w:val="0"/>
                                          <w:marBottom w:val="0"/>
                                          <w:divBdr>
                                            <w:top w:val="none" w:sz="0" w:space="0" w:color="auto"/>
                                            <w:left w:val="none" w:sz="0" w:space="0" w:color="auto"/>
                                            <w:bottom w:val="none" w:sz="0" w:space="0" w:color="auto"/>
                                            <w:right w:val="none" w:sz="0" w:space="0" w:color="auto"/>
                                          </w:divBdr>
                                        </w:div>
                                        <w:div w:id="684214482">
                                          <w:marLeft w:val="0"/>
                                          <w:marRight w:val="0"/>
                                          <w:marTop w:val="0"/>
                                          <w:marBottom w:val="0"/>
                                          <w:divBdr>
                                            <w:top w:val="none" w:sz="0" w:space="0" w:color="auto"/>
                                            <w:left w:val="none" w:sz="0" w:space="0" w:color="auto"/>
                                            <w:bottom w:val="none" w:sz="0" w:space="0" w:color="auto"/>
                                            <w:right w:val="none" w:sz="0" w:space="0" w:color="auto"/>
                                          </w:divBdr>
                                        </w:div>
                                        <w:div w:id="1108742785">
                                          <w:marLeft w:val="0"/>
                                          <w:marRight w:val="0"/>
                                          <w:marTop w:val="0"/>
                                          <w:marBottom w:val="0"/>
                                          <w:divBdr>
                                            <w:top w:val="none" w:sz="0" w:space="0" w:color="auto"/>
                                            <w:left w:val="none" w:sz="0" w:space="0" w:color="auto"/>
                                            <w:bottom w:val="none" w:sz="0" w:space="0" w:color="auto"/>
                                            <w:right w:val="none" w:sz="0" w:space="0" w:color="auto"/>
                                          </w:divBdr>
                                        </w:div>
                                        <w:div w:id="1864249814">
                                          <w:marLeft w:val="0"/>
                                          <w:marRight w:val="0"/>
                                          <w:marTop w:val="0"/>
                                          <w:marBottom w:val="0"/>
                                          <w:divBdr>
                                            <w:top w:val="none" w:sz="0" w:space="0" w:color="auto"/>
                                            <w:left w:val="none" w:sz="0" w:space="0" w:color="auto"/>
                                            <w:bottom w:val="none" w:sz="0" w:space="0" w:color="auto"/>
                                            <w:right w:val="none" w:sz="0" w:space="0" w:color="auto"/>
                                          </w:divBdr>
                                        </w:div>
                                        <w:div w:id="2068799179">
                                          <w:marLeft w:val="0"/>
                                          <w:marRight w:val="0"/>
                                          <w:marTop w:val="0"/>
                                          <w:marBottom w:val="0"/>
                                          <w:divBdr>
                                            <w:top w:val="none" w:sz="0" w:space="0" w:color="auto"/>
                                            <w:left w:val="none" w:sz="0" w:space="0" w:color="auto"/>
                                            <w:bottom w:val="none" w:sz="0" w:space="0" w:color="auto"/>
                                            <w:right w:val="none" w:sz="0" w:space="0" w:color="auto"/>
                                          </w:divBdr>
                                        </w:div>
                                        <w:div w:id="1160384658">
                                          <w:marLeft w:val="0"/>
                                          <w:marRight w:val="0"/>
                                          <w:marTop w:val="0"/>
                                          <w:marBottom w:val="0"/>
                                          <w:divBdr>
                                            <w:top w:val="none" w:sz="0" w:space="0" w:color="auto"/>
                                            <w:left w:val="none" w:sz="0" w:space="0" w:color="auto"/>
                                            <w:bottom w:val="none" w:sz="0" w:space="0" w:color="auto"/>
                                            <w:right w:val="none" w:sz="0" w:space="0" w:color="auto"/>
                                          </w:divBdr>
                                        </w:div>
                                        <w:div w:id="1094783242">
                                          <w:marLeft w:val="0"/>
                                          <w:marRight w:val="0"/>
                                          <w:marTop w:val="0"/>
                                          <w:marBottom w:val="0"/>
                                          <w:divBdr>
                                            <w:top w:val="none" w:sz="0" w:space="0" w:color="auto"/>
                                            <w:left w:val="none" w:sz="0" w:space="0" w:color="auto"/>
                                            <w:bottom w:val="none" w:sz="0" w:space="0" w:color="auto"/>
                                            <w:right w:val="none" w:sz="0" w:space="0" w:color="auto"/>
                                          </w:divBdr>
                                        </w:div>
                                        <w:div w:id="12298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93053">
                      <w:marLeft w:val="0"/>
                      <w:marRight w:val="0"/>
                      <w:marTop w:val="0"/>
                      <w:marBottom w:val="0"/>
                      <w:divBdr>
                        <w:top w:val="none" w:sz="0" w:space="0" w:color="auto"/>
                        <w:left w:val="none" w:sz="0" w:space="0" w:color="auto"/>
                        <w:bottom w:val="none" w:sz="0" w:space="0" w:color="auto"/>
                        <w:right w:val="none" w:sz="0" w:space="0" w:color="auto"/>
                      </w:divBdr>
                      <w:divsChild>
                        <w:div w:id="1209682035">
                          <w:marLeft w:val="0"/>
                          <w:marRight w:val="0"/>
                          <w:marTop w:val="0"/>
                          <w:marBottom w:val="0"/>
                          <w:divBdr>
                            <w:top w:val="none" w:sz="0" w:space="0" w:color="auto"/>
                            <w:left w:val="none" w:sz="0" w:space="0" w:color="auto"/>
                            <w:bottom w:val="none" w:sz="0" w:space="0" w:color="auto"/>
                            <w:right w:val="none" w:sz="0" w:space="0" w:color="auto"/>
                          </w:divBdr>
                          <w:divsChild>
                            <w:div w:id="8810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view-int.regione.fvg.it/fontinormative/xml/LeggiEsterne.aspx?doc=urn:nir:stato:decreto.legislativo:2010%3b59%7Eart71-com6bis" TargetMode="External"/><Relationship Id="rId5" Type="http://schemas.openxmlformats.org/officeDocument/2006/relationships/hyperlink" Target="http://lexview-int.regione.fvg.it/fontinormative/xml/LeggiEsterne.aspx?doc=urn:nir:stato:legge:2013-12-24%3b35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castagnotto</dc:creator>
  <cp:keywords/>
  <dc:description/>
  <cp:lastModifiedBy>castagnotto</cp:lastModifiedBy>
  <cp:revision>1</cp:revision>
  <cp:lastPrinted>2017-02-22T15:29:00Z</cp:lastPrinted>
  <dcterms:created xsi:type="dcterms:W3CDTF">2017-02-22T15:27:00Z</dcterms:created>
  <dcterms:modified xsi:type="dcterms:W3CDTF">2017-02-22T15:30:00Z</dcterms:modified>
</cp:coreProperties>
</file>