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right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>Udine, 27 dicembre 2018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color w:val="454545"/>
          <w:sz w:val="22"/>
          <w:szCs w:val="22"/>
        </w:rPr>
      </w:pPr>
      <w:r>
        <w:rPr>
          <w:rStyle w:val="Nessuno"/>
          <w:color w:val="454545"/>
          <w:sz w:val="20"/>
          <w:szCs w:val="20"/>
          <w:rtl w:val="0"/>
          <w:lang w:val="en-US"/>
        </w:rPr>
        <w:t>REPORT DI CONFARTIGIANATO</w:t>
      </w:r>
      <w:r>
        <w:rPr>
          <w:color w:val="454545"/>
          <w:sz w:val="24"/>
          <w:szCs w:val="24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b w:val="1"/>
          <w:bCs w:val="1"/>
          <w:color w:val="454545"/>
        </w:rPr>
      </w:pPr>
      <w:r>
        <w:rPr>
          <w:b w:val="1"/>
          <w:bCs w:val="1"/>
          <w:color w:val="454545"/>
          <w:rtl w:val="0"/>
          <w:lang w:val="it-IT"/>
        </w:rPr>
        <w:t xml:space="preserve">IL </w:t>
      </w:r>
      <w:r>
        <w:rPr>
          <w:b w:val="1"/>
          <w:bCs w:val="1"/>
          <w:color w:val="454545"/>
          <w:rtl w:val="0"/>
        </w:rPr>
        <w:t>F</w:t>
      </w:r>
      <w:r>
        <w:rPr>
          <w:b w:val="1"/>
          <w:bCs w:val="1"/>
          <w:color w:val="454545"/>
          <w:rtl w:val="0"/>
          <w:lang w:val="it-IT"/>
        </w:rPr>
        <w:t>VG E</w:t>
      </w:r>
      <w:r>
        <w:rPr>
          <w:b w:val="1"/>
          <w:bCs w:val="1"/>
          <w:color w:val="454545"/>
          <w:rtl w:val="0"/>
          <w:lang w:val="it-IT"/>
        </w:rPr>
        <w:t>’</w:t>
      </w:r>
      <w:r>
        <w:rPr>
          <w:b w:val="1"/>
          <w:bCs w:val="1"/>
          <w:color w:val="454545"/>
          <w:rtl w:val="0"/>
        </w:rPr>
        <w:t xml:space="preserve"> LA REGIONE CON IL MINOR PESO PRO CAPITE DELLA TASSA SUI RIFIUTI</w:t>
      </w:r>
      <w:r>
        <w:rPr>
          <w:b w:val="1"/>
          <w:bCs w:val="1"/>
          <w:color w:val="454545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b w:val="1"/>
          <w:bCs w:val="1"/>
          <w:color w:val="454545"/>
        </w:rPr>
      </w:pPr>
      <w:r>
        <w:rPr>
          <w:b w:val="1"/>
          <w:bCs w:val="1"/>
          <w:color w:val="454545"/>
          <w:rtl w:val="0"/>
          <w:lang w:val="de-DE"/>
        </w:rPr>
        <w:t>COSTA 123,50 EURO PER RESIDENTE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b w:val="1"/>
          <w:bCs w:val="1"/>
          <w:color w:val="454545"/>
          <w:sz w:val="20"/>
          <w:szCs w:val="20"/>
        </w:rPr>
      </w:pPr>
      <w:r>
        <w:rPr>
          <w:b w:val="1"/>
          <w:bCs w:val="1"/>
          <w:color w:val="454545"/>
          <w:sz w:val="20"/>
          <w:szCs w:val="20"/>
          <w:rtl w:val="0"/>
          <w:lang w:val="de-DE"/>
        </w:rPr>
        <w:t>EVASIONE AL 17,5</w:t>
      </w:r>
      <w:r>
        <w:rPr>
          <w:b w:val="1"/>
          <w:bCs w:val="1"/>
          <w:color w:val="454545"/>
          <w:sz w:val="20"/>
          <w:szCs w:val="20"/>
          <w:rtl w:val="0"/>
          <w:lang w:val="it-IT"/>
        </w:rPr>
        <w:t>%</w:t>
      </w:r>
      <w:r>
        <w:rPr>
          <w:b w:val="1"/>
          <w:bCs w:val="1"/>
          <w:color w:val="454545"/>
          <w:sz w:val="20"/>
          <w:szCs w:val="20"/>
          <w:rtl w:val="0"/>
        </w:rPr>
        <w:t> </w:t>
      </w:r>
      <w:r>
        <w:rPr>
          <w:b w:val="1"/>
          <w:bCs w:val="1"/>
          <w:color w:val="454545"/>
          <w:sz w:val="20"/>
          <w:szCs w:val="20"/>
          <w:rtl w:val="0"/>
          <w:lang w:val="it-IT"/>
        </w:rPr>
        <w:t>(rispetto al gettito previsto dai Comuni)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b w:val="1"/>
          <w:bCs w:val="1"/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b w:val="1"/>
          <w:bCs w:val="1"/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>Nel decennio 2007-2017 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 xml:space="preserve">indice dei prezzi al consumo per la Raccolta rifiuti delle famiglie italiane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</w:rPr>
        <w:t>sal</w:t>
      </w:r>
      <w:r>
        <w:rPr>
          <w:color w:val="454545"/>
          <w:sz w:val="20"/>
          <w:szCs w:val="20"/>
          <w:rtl w:val="0"/>
          <w:lang w:val="it-IT"/>
        </w:rPr>
        <w:t>i</w:t>
      </w:r>
      <w:r>
        <w:rPr>
          <w:color w:val="454545"/>
          <w:sz w:val="20"/>
          <w:szCs w:val="20"/>
          <w:rtl w:val="0"/>
          <w:lang w:val="it-IT"/>
        </w:rPr>
        <w:t>to del del 40%, il doppio del +19,7% registrato nella media dei Paesi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Eurozona e di gran lunga distante dalla crescita nel periodo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 xml:space="preserve">indice dei prezzi al consumo (+16%). </w:t>
      </w:r>
      <w:r>
        <w:rPr>
          <w:color w:val="454545"/>
          <w:sz w:val="20"/>
          <w:szCs w:val="20"/>
          <w:rtl w:val="0"/>
          <w:lang w:val="it-IT"/>
        </w:rPr>
        <w:t>Non esente dalla dinamica, il</w:t>
      </w:r>
      <w:r>
        <w:rPr>
          <w:color w:val="454545"/>
          <w:sz w:val="20"/>
          <w:szCs w:val="20"/>
          <w:rtl w:val="0"/>
          <w:lang w:val="it-IT"/>
        </w:rPr>
        <w:t xml:space="preserve"> Fvg si distingue</w:t>
      </w:r>
      <w:r>
        <w:rPr>
          <w:color w:val="454545"/>
          <w:sz w:val="20"/>
          <w:szCs w:val="20"/>
          <w:rtl w:val="0"/>
          <w:lang w:val="it-IT"/>
        </w:rPr>
        <w:t xml:space="preserve"> tuttavia</w:t>
      </w:r>
      <w:r>
        <w:rPr>
          <w:color w:val="454545"/>
          <w:sz w:val="20"/>
          <w:szCs w:val="20"/>
          <w:rtl w:val="0"/>
          <w:lang w:val="it-IT"/>
        </w:rPr>
        <w:t xml:space="preserve"> per essere la regione in cui il peso pro capite pagato per il servizio di igiene urbana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  <w:lang w:val="it-IT"/>
        </w:rPr>
        <w:t xml:space="preserve">minore: ogni residente in regione paga in media 123,50 euro contro una media Italia di 167,11 euro. </w:t>
      </w:r>
      <w:r>
        <w:rPr>
          <w:color w:val="454545"/>
          <w:sz w:val="20"/>
          <w:szCs w:val="20"/>
          <w:rtl w:val="0"/>
          <w:lang w:val="it-IT"/>
        </w:rPr>
        <w:t>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 xml:space="preserve">incidenza dei proventi dovuti alla tassa rifiuti sul Pil pro capite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  <w:lang w:val="it-IT"/>
        </w:rPr>
        <w:t>pari allo 0,40%, anche in questo caso tra i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 xml:space="preserve">bassi a livello delle regioni. A fare il punto sul peso della tassa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</w:rPr>
        <w:t>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Ufficio Studi di Confartigianato sulla base dei dati Ispra e Istat. Dati che certificano, parallelamente all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aumento dei prezzi, una riduzione della raccolta. Nel lungo periodo infatti mentre le tariffe pagate dalle famiglie per il servizio rifiuti salgono in modo consistente, le quantit</w:t>
      </w:r>
      <w:r>
        <w:rPr>
          <w:color w:val="454545"/>
          <w:sz w:val="20"/>
          <w:szCs w:val="20"/>
          <w:rtl w:val="0"/>
          <w:lang w:val="fr-FR"/>
        </w:rPr>
        <w:t xml:space="preserve">à </w:t>
      </w:r>
      <w:r>
        <w:rPr>
          <w:color w:val="454545"/>
          <w:sz w:val="20"/>
          <w:szCs w:val="20"/>
          <w:rtl w:val="0"/>
          <w:lang w:val="it-IT"/>
        </w:rPr>
        <w:t>prodotte di rifiuti diminuiscono.</w:t>
      </w:r>
      <w:r>
        <w:rPr>
          <w:color w:val="454545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>Nel 2017 sono stati prodotti 29,6 milioni di tonnellate di rifiuti, pari a 489 kg pro capite, con una riduzione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1,7% rispetto all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anno precedente e nel confronto internazionale 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Italia evidenzia una produzione sostanzialmente in linea (+2,8%) con la media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Unione europea. 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esame dei dati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ultimo Rapporto Rifiuti dell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 xml:space="preserve">Ispra evidenzia che in dieci anni la produzione di rifiuti si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  <w:lang w:val="it-IT"/>
        </w:rPr>
        <w:t>ridotta del 9,1%, con un calo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>accentuato nel biennio 2011-2012.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La tassa e/o tariffa per la raccolta rifiuti vale circa 10,1 milioni di euro l</w:t>
      </w:r>
      <w:r>
        <w:rPr>
          <w:rStyle w:val="Nessuno"/>
          <w:b w:val="1"/>
          <w:bCs w:val="1"/>
          <w:color w:val="454545"/>
          <w:sz w:val="20"/>
          <w:szCs w:val="20"/>
          <w:rtl w:val="0"/>
        </w:rPr>
        <w:t>’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anno, per un valore medio pro capite di 167,11 euro</w:t>
      </w:r>
      <w:r>
        <w:rPr>
          <w:color w:val="454545"/>
          <w:sz w:val="20"/>
          <w:szCs w:val="20"/>
          <w:rtl w:val="0"/>
          <w:lang w:val="it-IT"/>
        </w:rPr>
        <w:t xml:space="preserve"> e una copertura dei costi quasi completa (98,3%). I proventi pro capite da tassa e/o tariffa pagati per il servizio di igiene urbana in dieci regioni sono superiori alla media nazionale di 167,11 euro pro capite e valori superiori ai 200 euro si osservano in: Liguria con 223,98 euro (+34,0% sopra la media), Lazio con 218,09 euro (+30,5% sopra la media) e Toscana con 208,37 euro (+24,7% sopra la media). All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 xml:space="preserve">opposto, minori sono quelli del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Friuli-Venezia Giulia, con 123,50 euro (-26,1% sotto la media)</w:t>
      </w:r>
      <w:r>
        <w:rPr>
          <w:color w:val="454545"/>
          <w:sz w:val="20"/>
          <w:szCs w:val="20"/>
          <w:rtl w:val="0"/>
          <w:lang w:val="it-IT"/>
        </w:rPr>
        <w:t>, Molise con 128,07 euro (23,4% sotto la media), Trentino-Alto Adige con 130,73 euro (-21,8%) e Lombardia con 133,71 euro (-20,0%).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 xml:space="preserve">La valutazione in rapporto al PIL evidenzia come il prelievo grava maggiormente su territori dove il reddito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</w:rPr>
        <w:t>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 xml:space="preserve">basso. In media i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 xml:space="preserve">proventi pro capite del servizio di igiene urbana pesano per lo 0,59% sul PIL pro capite nazionale. </w:t>
      </w:r>
      <w:r>
        <w:rPr>
          <w:color w:val="454545"/>
          <w:sz w:val="20"/>
          <w:szCs w:val="20"/>
          <w:rtl w:val="0"/>
          <w:lang w:val="it-IT"/>
        </w:rPr>
        <w:t xml:space="preserve">Valori superiori alla media si osservano per la Campania (1,03% del PIL pro capite), Puglia e Sicilia (entrambe con lo 0,98%), Sardegna (0,94%) e Calabria (0,92%) mentre le incidenze minori sono quelle del Trentino-Alto Adige (0,33%), della Lombardia (0,35%) e del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Friuli-Venezia Giulia (0,40%).</w:t>
      </w:r>
      <w:r>
        <w:rPr>
          <w:rStyle w:val="Nessuno"/>
          <w:b w:val="1"/>
          <w:bCs w:val="1"/>
          <w:color w:val="454545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rStyle w:val="Nessuno"/>
          <w:b w:val="1"/>
          <w:bCs w:val="1"/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 xml:space="preserve">La distribuzione del carico fiscale per la raccolta rifiuti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  <w:lang w:val="it-IT"/>
        </w:rPr>
        <w:t xml:space="preserve">influenzata da una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elevata evasione del tributo</w:t>
      </w:r>
      <w:r>
        <w:rPr>
          <w:color w:val="454545"/>
          <w:sz w:val="20"/>
          <w:szCs w:val="20"/>
          <w:rtl w:val="0"/>
          <w:lang w:val="it-IT"/>
        </w:rPr>
        <w:t>. Il mix di un trend di tariffe crescenti associato ad una alta evasione genera una pressione eccessiva sui contribuenti onesti. 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analisi dei dati della Relazione sulla riscossione della tassa sui rifiuti (TARI) pubblicata a febbraio 2018 dalla Commissione bicamerale sulle attivit</w:t>
      </w:r>
      <w:r>
        <w:rPr>
          <w:color w:val="454545"/>
          <w:sz w:val="20"/>
          <w:szCs w:val="20"/>
          <w:rtl w:val="0"/>
          <w:lang w:val="fr-FR"/>
        </w:rPr>
        <w:t xml:space="preserve">à </w:t>
      </w:r>
      <w:r>
        <w:rPr>
          <w:color w:val="454545"/>
          <w:sz w:val="20"/>
          <w:szCs w:val="20"/>
          <w:rtl w:val="0"/>
          <w:lang w:val="it-IT"/>
        </w:rPr>
        <w:t xml:space="preserve">illecite connesse al ciclo dei rifiuti della precedente XVII legislatura evidenzia che per i 110 comuni capoluogo di provincia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gli importi non incassati sono pari al 22,9% del valore indicato nel bilancio preventivo</w:t>
      </w:r>
      <w:r>
        <w:rPr>
          <w:color w:val="454545"/>
          <w:sz w:val="20"/>
          <w:szCs w:val="20"/>
          <w:rtl w:val="0"/>
          <w:lang w:val="it-IT"/>
        </w:rPr>
        <w:t>. La quota di mancata riscossione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>elevata si riscontra a Napoli con 55,5%, Nuoro con 54,1%, Cosenza con 51,5%, Vibo Valentia con 47,8%, Caserta con 46,9% e Catania con 45,6%; all</w:t>
      </w:r>
      <w:r>
        <w:rPr>
          <w:color w:val="454545"/>
          <w:sz w:val="20"/>
          <w:szCs w:val="20"/>
          <w:rtl w:val="0"/>
        </w:rPr>
        <w:t>’</w:t>
      </w:r>
      <w:r>
        <w:rPr>
          <w:color w:val="454545"/>
          <w:sz w:val="20"/>
          <w:szCs w:val="20"/>
          <w:rtl w:val="0"/>
          <w:lang w:val="it-IT"/>
        </w:rPr>
        <w:t>opposto quote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 xml:space="preserve">ridotte per Macerata (8,8%), Vicenza (8,5%), Belluno (8,3%), Sondrio (6,6%) e Reggio Emilia (4,8%); infine nei tre comuni di Mantova, Trento e Parma gli incassi superano i preventivi.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 xml:space="preserve">Nei capoluoghi Fvg la quota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b w:val="1"/>
          <w:bCs w:val="1"/>
          <w:color w:val="454545"/>
          <w:sz w:val="20"/>
          <w:szCs w:val="20"/>
          <w:rtl w:val="0"/>
          <w:lang w:val="it-IT"/>
        </w:rPr>
        <w:t>del 17,5%.</w:t>
      </w:r>
      <w:r>
        <w:rPr>
          <w:rStyle w:val="Nessuno"/>
          <w:b w:val="1"/>
          <w:bCs w:val="1"/>
          <w:color w:val="454545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  <w:rtl w:val="0"/>
          <w:lang w:val="it-IT"/>
        </w:rPr>
        <w:t>In media regionale la mancata riscossione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>elevata si osserva per i comuni capoluogo di provincia della Campania (50,9% di mancata riscossione), Calabria (41,6%), Sicilia (40,7%) e Sardegna (35,8%). Le quote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 xml:space="preserve">basse di mancati introiti si osservano per Marche (13,6%), Veneto (13,2%), Lazio (12,2%), Emilia-Romagna (11,8%). Nei capoluoghi del Mezzogiorno la quota di tributo non riscosso </w:t>
      </w:r>
      <w:r>
        <w:rPr>
          <w:color w:val="454545"/>
          <w:sz w:val="20"/>
          <w:szCs w:val="20"/>
          <w:rtl w:val="0"/>
          <w:lang w:val="it-IT"/>
        </w:rPr>
        <w:t xml:space="preserve">è </w:t>
      </w:r>
      <w:r>
        <w:rPr>
          <w:color w:val="454545"/>
          <w:sz w:val="20"/>
          <w:szCs w:val="20"/>
          <w:rtl w:val="0"/>
          <w:lang w:val="it-IT"/>
        </w:rPr>
        <w:t>del 39,9%, pi</w:t>
      </w:r>
      <w:r>
        <w:rPr>
          <w:color w:val="454545"/>
          <w:sz w:val="20"/>
          <w:szCs w:val="20"/>
          <w:rtl w:val="0"/>
          <w:lang w:val="it-IT"/>
        </w:rPr>
        <w:t xml:space="preserve">ù </w:t>
      </w:r>
      <w:r>
        <w:rPr>
          <w:color w:val="454545"/>
          <w:sz w:val="20"/>
          <w:szCs w:val="20"/>
          <w:rtl w:val="0"/>
          <w:lang w:val="it-IT"/>
        </w:rPr>
        <w:t>del doppio di quella del Centro Nord (16,0%).</w:t>
      </w:r>
      <w:r>
        <w:rPr>
          <w:color w:val="454545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color w:val="454545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color w:val="454545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color w:val="717172"/>
          <w:sz w:val="20"/>
          <w:szCs w:val="20"/>
          <w:shd w:val="clear" w:color="auto" w:fill="fefffe"/>
          <w:rtl w:val="0"/>
        </w:rPr>
        <w:t>PROVENTI DA TASSA E/O TARIFFA PAGATI PER IL SERVIZIO DI IGIENE URBANA NELLE REGIONI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i w:val="0"/>
          <w:iCs w:val="0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Anno 2017. Euro per residente. Dichiarazioni MUD 2018 corrette da errori ed incongruenze ed opportunamente integrate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>Elaborazione Ufficio Studi Confartigianato su dati Ispra</w:t>
      </w:r>
      <w:r>
        <w:rPr>
          <w:rStyle w:val="Nessuno"/>
          <w:rFonts w:ascii="Helvetica" w:cs="Helvetica" w:hAnsi="Helvetica" w:eastAsia="Helvetica"/>
          <w:i w:val="0"/>
          <w:iCs w:val="0"/>
          <w:color w:val="393939"/>
          <w:sz w:val="20"/>
          <w:szCs w:val="20"/>
          <w:shd w:val="clear" w:color="auto" w:fill="fefffe"/>
        </w:rPr>
        <w:drawing>
          <wp:inline distT="0" distB="0" distL="0" distR="0">
            <wp:extent cx="6071235" cy="222901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roventi-da-tassa-e-o-tariffa-pagati-per-il-servizio-di-igiene-urbana-nelle-region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2229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color w:val="717172"/>
          <w:sz w:val="20"/>
          <w:szCs w:val="20"/>
          <w:shd w:val="clear" w:color="auto" w:fill="fefffe"/>
          <w:rtl w:val="0"/>
        </w:rPr>
        <w:t>INCIDENZA SUL PIL PRO CAPITE DEI PROVENTI TOTALI DA TASSA E/O TARIFFA PAGATI PER IL SERVIZIO DI IGIENE URBANA NELLE REGIONI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i w:val="0"/>
          <w:iCs w:val="0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Anno 2017. % proventi su PIL pro capite. Dichiarazioni MUD 2018 corrette da errori ed incongruenze ed opportunamente integrate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>Elaborazione Ufficio Studi Confartigianato su dati Ispra e Istat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Style w:val="Nessuno"/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  <w:drawing>
          <wp:inline distT="0" distB="0" distL="0" distR="0">
            <wp:extent cx="6071235" cy="228972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ncidenza-sul-PIL-pro-capite-dei-proventi-totali-da-tassa-e-o-tariffa-pagati-per-il-servizio-di-igiene-urbana-nelle-region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22897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color w:val="717172"/>
          <w:sz w:val="20"/>
          <w:szCs w:val="20"/>
          <w:shd w:val="clear" w:color="auto" w:fill="fefffe"/>
          <w:rtl w:val="0"/>
          <w:lang w:val="de-DE"/>
        </w:rPr>
        <w:t>VARIAZIONE INDICE PREZZI AL CONSUMO E INDICE RACCOLTA RIFIUTI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i w:val="0"/>
          <w:iCs w:val="0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</w:rPr>
        <w:t>2007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>–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2017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va. % cumulata nei dieci anni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>Elaborazione Ufficio Studi Confartigianato su dati Eurostat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Style w:val="Nessuno"/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  <w:drawing>
          <wp:inline distT="0" distB="0" distL="0" distR="0">
            <wp:extent cx="6071235" cy="2636651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Variazione-indice-prezzi-al-consumo-e-Indice-Raccolta-rifiuti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2636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</w:pPr>
      <w:r>
        <w:rPr>
          <w:rFonts w:ascii="Helvetica" w:hAnsi="Helvetica" w:hint="default"/>
          <w:color w:val="393939"/>
          <w:sz w:val="20"/>
          <w:szCs w:val="20"/>
          <w:shd w:val="clear" w:color="auto" w:fill="fefffe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Fonts w:ascii="Helvetica" w:cs="Helvetica" w:hAnsi="Helvetica" w:eastAsia="Helvetica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color w:val="717172"/>
          <w:sz w:val="20"/>
          <w:szCs w:val="20"/>
          <w:shd w:val="clear" w:color="auto" w:fill="fefffe"/>
          <w:rtl w:val="0"/>
          <w:lang w:val="en-US"/>
        </w:rPr>
        <w:t>QUOTA MANCATI INCASSI TARI RISPETTO PREVENTIVO DEI COMUNI CAPOLUOGO DI PROVINCIA PER REGIONE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  <w:rPr>
          <w:rStyle w:val="Nessuno"/>
          <w:rFonts w:ascii="Helvetica" w:cs="Helvetica" w:hAnsi="Helvetica" w:eastAsia="Helvetica"/>
          <w:i w:val="0"/>
          <w:iCs w:val="0"/>
          <w:color w:val="717172"/>
          <w:sz w:val="20"/>
          <w:szCs w:val="20"/>
          <w:shd w:val="clear" w:color="auto" w:fill="fefffe"/>
        </w:rPr>
      </w:pP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Media anni 2014 e 2015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% su proventi bilanci preventivi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it-IT"/>
        </w:rPr>
        <w:t xml:space="preserve">Elaborazione Ufficio Studi Confartigianato su dati Commissione bicamerale rifiuti </w:t>
      </w:r>
      <w:r>
        <w:rPr>
          <w:rFonts w:ascii="Helvetica" w:hAnsi="Helvetica" w:hint="default"/>
          <w:i w:val="1"/>
          <w:iCs w:val="1"/>
          <w:color w:val="393939"/>
          <w:sz w:val="20"/>
          <w:szCs w:val="20"/>
          <w:shd w:val="clear" w:color="auto" w:fill="fefffe"/>
          <w:rtl w:val="0"/>
        </w:rPr>
        <w:t xml:space="preserve">– </w:t>
      </w:r>
      <w:r>
        <w:rPr>
          <w:rFonts w:ascii="Helvetica" w:hAnsi="Helvetica"/>
          <w:i w:val="1"/>
          <w:iCs w:val="1"/>
          <w:color w:val="393939"/>
          <w:sz w:val="20"/>
          <w:szCs w:val="20"/>
          <w:shd w:val="clear" w:color="auto" w:fill="fefffe"/>
          <w:rtl w:val="0"/>
          <w:lang w:val="en-US"/>
        </w:rPr>
        <w:t>XVII legislatura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center"/>
      </w:pPr>
      <w:r>
        <w:rPr>
          <w:rStyle w:val="Nessuno"/>
          <w:rFonts w:ascii="Helvetica" w:cs="Helvetica" w:hAnsi="Helvetica" w:eastAsia="Helvetica"/>
          <w:color w:val="393939"/>
          <w:sz w:val="20"/>
          <w:szCs w:val="20"/>
          <w:shd w:val="clear" w:color="auto" w:fill="fefffe"/>
        </w:rPr>
        <w:drawing>
          <wp:inline distT="0" distB="0" distL="0" distR="0">
            <wp:extent cx="6071235" cy="2584612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Quota-mancati-incassi-TARI-rispetto-preventivo-dei-comuni-capoluogo-di-Provincia-per-region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2584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3521" w:right="1346" w:bottom="709" w:left="993" w:header="284" w:footer="5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819149</wp:posOffset>
              </wp:positionH>
              <wp:positionV relativeFrom="page">
                <wp:posOffset>1685925</wp:posOffset>
              </wp:positionV>
              <wp:extent cx="5619117" cy="43942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17" cy="439421"/>
                        <a:chOff x="0" y="-1"/>
                        <a:chExt cx="5619116" cy="43942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17" cy="4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0" y="9523"/>
                          <a:ext cx="5619117" cy="42989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17,439421">
              <w10:wrap type="none" side="bothSides" anchorx="page" anchory="page"/>
              <v:rect id="_x0000_s1027" style="position:absolute;left:-1;top:-1;width:5619116;height:42989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9524;width:5619116;height:429896;">
                <v:imagedata r:id="rId1" o:title="image.png" croptop="70.5%" cropbottom="0.0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1586864</wp:posOffset>
              </wp:positionV>
              <wp:extent cx="6190616" cy="895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6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e"/>
      <w:jc w:val="center"/>
    </w:pPr>
    <w:r>
      <w:drawing>
        <wp:inline distT="0" distB="0" distL="0" distR="0">
          <wp:extent cx="2820069" cy="14093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